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一</w:t>
      </w:r>
      <w:r>
        <w:rPr>
          <w:rFonts w:hint="eastAsia" w:ascii="仿宋" w:hAnsi="仿宋" w:eastAsia="仿宋"/>
          <w:b/>
          <w:sz w:val="32"/>
          <w:szCs w:val="32"/>
        </w:rPr>
        <w:t>学期期中教学检查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东盟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eastAsia="zh-CN"/>
        </w:rPr>
        <w:t>校区自查自评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</w:p>
    <w:p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1153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1.教学文件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numPr>
                <w:ilvl w:val="0"/>
                <w:numId w:val="0"/>
              </w:numPr>
              <w:spacing w:line="320" w:lineRule="exact"/>
              <w:jc w:val="both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(1)授课计划、教学大纲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能够结合课程标准并结合学生实际，计划详细、具体，可操作性强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翻阅授课计划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及教学大纲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(2)教学日志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严格按照授课计划进行教学，填写认真、全面、规范、突出重难点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翻阅教学日志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(3)教案编写情况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ind w:left="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(4)新开课申请</w:t>
            </w:r>
          </w:p>
          <w:p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新开课申请表及相关材料（新开课清单、教学大纲、考核大纲、教案等）完备、详细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翻阅新开课申请表及相关材料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(5)学生考勤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认真执行学生考勤，考勤次时不少于总课次的五分之四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翻阅学生考勤名单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，查看微助教使用情况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)作业批改情况 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</w:t>
            </w:r>
            <w:r>
              <w:rPr>
                <w:rFonts w:ascii="仿宋" w:hAnsi="仿宋" w:eastAsia="仿宋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全部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批改（作业量大的，每次批改不少于1/3）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)多媒体课件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)文件归档  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2.教学管理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9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(1)听课制度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严格执行听课制度，完成本学期一半听课任务，认真填写听课记录表，能够提出优缺点，并填写学生考勤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(2)教学事故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查看学校教学事故文件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(3)学生评教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(4)教研室活动3分</w:t>
            </w:r>
          </w:p>
        </w:tc>
        <w:tc>
          <w:tcPr>
            <w:tcW w:w="391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积极、认真组织教研室活动,每个教研室每学期集体活动不少于4次(期中检查时须完成2次)</w:t>
            </w:r>
          </w:p>
        </w:tc>
        <w:tc>
          <w:tcPr>
            <w:tcW w:w="212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971"/>
        <w:gridCol w:w="1562"/>
        <w:gridCol w:w="3914"/>
        <w:gridCol w:w="2126"/>
        <w:gridCol w:w="4875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9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  <w:p>
            <w:pPr>
              <w:spacing w:line="480" w:lineRule="auto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30分</w:t>
            </w: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.教学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实验教学计划，实习计划表齐全；实验开出率高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(2)指导书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选用推荐或自编有特色的实验、实习指导书并及时更新；学生自主完成的综合性、设计性实验比例50%及以上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.记录与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报告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(1)实验、实习记录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翻阅实验教学日记；翻阅实习带队老师工作手册；翻阅学生实习手册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)实验、实习报告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5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)成绩评定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spacing w:line="30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.仪器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设备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1562" w:type="dxa"/>
            <w:tcBorders>
              <w:bottom w:val="single" w:color="auto" w:sz="4" w:space="0"/>
            </w:tcBorders>
            <w:vAlign w:val="center"/>
          </w:tcPr>
          <w:p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(1)仪器设备管理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仪器设备账、物相符率达100%，设备完好率达95%以上；使用记录登记齐全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(2)设备维修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近两年的仪器设备维修记录齐备，且设备维修及时，能保证实验正常开出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.环境与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安全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562" w:type="dxa"/>
            <w:vAlign w:val="center"/>
          </w:tcPr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设施与环境</w:t>
            </w:r>
          </w:p>
          <w:p>
            <w:pPr>
              <w:pStyle w:val="8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(2)安全措施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7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.实验室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6分</w:t>
            </w: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(1)规章制度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实验室有规章制度，并上墙，整齐规范，执行严格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翻阅规章制度；现场检查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97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(2)文件归档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3分</w:t>
            </w:r>
          </w:p>
        </w:tc>
        <w:tc>
          <w:tcPr>
            <w:tcW w:w="391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875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3685"/>
        <w:gridCol w:w="2127"/>
        <w:gridCol w:w="5102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368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510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4" w:type="dxa"/>
            <w:vAlign w:val="center"/>
          </w:tcPr>
          <w:p>
            <w:pPr>
              <w:spacing w:line="480" w:lineRule="auto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教学单位组织检查情况</w:t>
            </w:r>
          </w:p>
          <w:p>
            <w:pPr>
              <w:spacing w:line="48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13.组织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检查</w:t>
            </w:r>
          </w:p>
          <w:p>
            <w:pPr>
              <w:ind w:left="-109" w:leftChars="-52" w:right="-115" w:rightChars="-55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1562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10分</w:t>
            </w:r>
          </w:p>
        </w:tc>
        <w:tc>
          <w:tcPr>
            <w:tcW w:w="3684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高度重视此次期中教学检查，认真组织落实，在检查前完成自查，形成自查报告，提交自查自评量化表和自查报告；检查材料准备充足、充分</w:t>
            </w:r>
          </w:p>
        </w:tc>
        <w:tc>
          <w:tcPr>
            <w:tcW w:w="2127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510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pgSz w:w="16838" w:h="11906" w:orient="landscape"/>
      <w:pgMar w:top="993" w:right="1440" w:bottom="1135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F69C6"/>
    <w:rsid w:val="00400FBA"/>
    <w:rsid w:val="004150E6"/>
    <w:rsid w:val="004D14A4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5A94C99"/>
    <w:rsid w:val="063A71D2"/>
    <w:rsid w:val="07AC5A15"/>
    <w:rsid w:val="133948B1"/>
    <w:rsid w:val="199F37ED"/>
    <w:rsid w:val="1F201E75"/>
    <w:rsid w:val="212E6F5C"/>
    <w:rsid w:val="21CA0EF5"/>
    <w:rsid w:val="2B5B05EA"/>
    <w:rsid w:val="33955AC0"/>
    <w:rsid w:val="34715837"/>
    <w:rsid w:val="3A0A2075"/>
    <w:rsid w:val="3B6801BA"/>
    <w:rsid w:val="4B04021D"/>
    <w:rsid w:val="4CCD00DE"/>
    <w:rsid w:val="4DA0439B"/>
    <w:rsid w:val="504D4E5B"/>
    <w:rsid w:val="54E12DF6"/>
    <w:rsid w:val="54FE143F"/>
    <w:rsid w:val="60C8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439</Words>
  <Characters>2506</Characters>
  <Lines>20</Lines>
  <Paragraphs>5</Paragraphs>
  <TotalTime>6</TotalTime>
  <ScaleCrop>false</ScaleCrop>
  <LinksUpToDate>false</LinksUpToDate>
  <CharactersWithSpaces>2940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莫依瞳</dc:creator>
  <cp:lastModifiedBy>鹿</cp:lastModifiedBy>
  <cp:lastPrinted>2021-10-18T01:45:00Z</cp:lastPrinted>
  <dcterms:modified xsi:type="dcterms:W3CDTF">2021-10-26T06:40:50Z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FE1D7264AEBD42B5A3AAA8633F7C0994</vt:lpwstr>
  </property>
</Properties>
</file>