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附件6</w:t>
      </w:r>
    </w:p>
    <w:p>
      <w:pPr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评估材料常见问题及注意事项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参评专业在撰写自评报告及填报数据表时，请注意以下常见问题：</w:t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/>
          <w:b/>
          <w:bCs/>
          <w:sz w:val="28"/>
          <w:szCs w:val="28"/>
        </w:rPr>
        <w:t>一、自评报告</w:t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b/>
          <w:bCs/>
          <w:sz w:val="28"/>
          <w:szCs w:val="28"/>
        </w:rPr>
        <w:t>（一）专业定位与人才培养目标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eastAsia" w:ascii="Times New Roman" w:hAnsi="Times New Roman"/>
          <w:sz w:val="28"/>
          <w:szCs w:val="28"/>
        </w:rPr>
        <w:t>专业的定位和人才培养目标应与学校保持一致。</w:t>
      </w:r>
    </w:p>
    <w:p>
      <w:pPr>
        <w:ind w:firstLine="562" w:firstLineChars="200"/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办学类型定位：</w:t>
      </w:r>
      <w:r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地方性、应用型普通本科院校。</w:t>
      </w:r>
      <w:r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办学层次定位：</w:t>
      </w:r>
      <w:r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以全日制本科教育为主，适时发展硕士专业学位研究生教育，积极开展多种形式的继续教育。</w:t>
      </w:r>
      <w:r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学科专业定位：</w:t>
      </w:r>
      <w:r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以工学为主，工、管、艺、经、文、理、教育学等多学科协调发展的学科体系；围绕国家导向和区域经济社会发展需要，重点建设土木工程、财经管理、计算机与信息技术、艺术与传媒、大数据与人工智能和人文教育六大学科专业群。</w:t>
      </w:r>
      <w:r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人才培养目标定位：</w:t>
      </w:r>
      <w:r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面向区域经济社会发展需要，培养思想品德优良、知识结构合理、实践能力突出、创新意识和创业能力强的德智体美劳全面发展的高素质应用型人才。</w:t>
      </w:r>
      <w:r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服务面向定位：</w:t>
      </w:r>
      <w:r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立足广西，面向全国，辐射东盟；服务地方，服务行业。</w:t>
      </w:r>
      <w:r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发展目标定位：</w:t>
      </w:r>
      <w:r>
        <w:rPr>
          <w:rFonts w:hint="eastAsia" w:ascii="Times New Roman" w:hAnsi="Times New Roman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建设区域一流、特色鲜明的高水平应用型高校。</w:t>
      </w:r>
    </w:p>
    <w:p>
      <w:pPr>
        <w:ind w:firstLine="562" w:firstLineChars="200"/>
        <w:rPr>
          <w:rFonts w:hint="eastAsia" w:ascii="Times New Roman" w:hAnsi="Times New Roman" w:eastAsiaTheme="minorEastAsia"/>
          <w:bCs/>
          <w:color w:val="000000" w:themeColor="text1"/>
          <w:sz w:val="28"/>
          <w:szCs w:val="28"/>
          <w:lang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 w:val="0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校训</w:t>
      </w:r>
      <w:r>
        <w:rPr>
          <w:rFonts w:hint="eastAsia" w:ascii="Times New Roman" w:hAnsi="Times New Roman"/>
          <w:b w:val="0"/>
          <w:bCs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厚德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lang w:eastAsia="zh-CN" w:bidi="en-U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博学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lang w:eastAsia="zh-CN" w:bidi="en-U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自强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lang w:eastAsia="zh-CN" w:bidi="en-U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弘毅</w:t>
      </w:r>
    </w:p>
    <w:p>
      <w:pPr>
        <w:ind w:firstLine="562" w:firstLineChars="200"/>
        <w:rPr>
          <w:rFonts w:hint="eastAsia" w:ascii="Times New Roman" w:hAnsi="Times New Roman" w:eastAsiaTheme="minorEastAsia"/>
          <w:bCs/>
          <w:color w:val="000000" w:themeColor="text1"/>
          <w:sz w:val="28"/>
          <w:szCs w:val="28"/>
          <w:lang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办学理念</w:t>
      </w:r>
      <w:r>
        <w:rPr>
          <w:rFonts w:hint="eastAsia" w:ascii="Times New Roman" w:hAnsi="Times New Roman"/>
          <w:b w:val="0"/>
          <w:bCs/>
          <w:color w:val="000000" w:themeColor="text1"/>
          <w:sz w:val="28"/>
          <w:szCs w:val="28"/>
          <w:lang w:eastAsia="zh-CN" w:bidi="en-U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育人为本、质量立校、特色强校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eastAsia" w:ascii="Times New Roman" w:hAnsi="Times New Roman"/>
          <w:sz w:val="28"/>
          <w:szCs w:val="28"/>
        </w:rPr>
        <w:t>自评报告中应理顺并体现专业人才培养目标、毕业要求、培养方案和课程体系的相互支撑关系，有矩阵图。</w:t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b/>
          <w:bCs/>
          <w:sz w:val="28"/>
          <w:szCs w:val="28"/>
        </w:rPr>
        <w:t>（二）内容表述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eastAsia" w:ascii="Times New Roman" w:hAnsi="Times New Roman"/>
          <w:sz w:val="28"/>
          <w:szCs w:val="28"/>
        </w:rPr>
        <w:t>存在问题、解决措施、发展打算的部分应不低于全文字数的</w:t>
      </w:r>
      <w:r>
        <w:rPr>
          <w:rFonts w:hint="eastAsia" w:ascii="Times New Roman" w:hAnsi="Times New Roman"/>
          <w:b/>
          <w:bCs/>
          <w:sz w:val="28"/>
          <w:szCs w:val="28"/>
          <w:highlight w:val="yellow"/>
        </w:rPr>
        <w:t>三分之一</w:t>
      </w:r>
      <w:r>
        <w:rPr>
          <w:rFonts w:hint="eastAsia" w:ascii="Times New Roman" w:hAnsi="Times New Roman"/>
          <w:sz w:val="28"/>
          <w:szCs w:val="28"/>
        </w:rPr>
        <w:t>，问题要聚焦、措施应具体可操作。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eastAsia" w:ascii="Times New Roman" w:hAnsi="Times New Roman"/>
          <w:sz w:val="28"/>
          <w:szCs w:val="28"/>
          <w:highlight w:val="yellow"/>
        </w:rPr>
        <w:t>自评报告须严格按照提纲要求（附件</w:t>
      </w:r>
      <w:r>
        <w:rPr>
          <w:rFonts w:ascii="Times New Roman" w:hAnsi="Times New Roman"/>
          <w:sz w:val="28"/>
          <w:szCs w:val="28"/>
          <w:highlight w:val="yellow"/>
        </w:rPr>
        <w:t>3</w:t>
      </w:r>
      <w:r>
        <w:rPr>
          <w:rFonts w:hint="eastAsia" w:ascii="Times New Roman" w:hAnsi="Times New Roman"/>
          <w:sz w:val="28"/>
          <w:szCs w:val="28"/>
          <w:highlight w:val="yellow"/>
        </w:rPr>
        <w:t>）</w:t>
      </w:r>
      <w:r>
        <w:rPr>
          <w:rFonts w:hint="eastAsia" w:ascii="Times New Roman" w:hAnsi="Times New Roman"/>
          <w:sz w:val="28"/>
          <w:szCs w:val="28"/>
        </w:rPr>
        <w:t>撰写，各级标题凝练，正文言之有物不空泛，正文紧扣所在部分的标题，不离题不偏题。用图表代替文字叙述，减少“良好”“基本”“较强”“较好”等定性表述，用数据和图表做支撑。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b/>
          <w:bCs/>
          <w:sz w:val="28"/>
          <w:szCs w:val="28"/>
        </w:rPr>
        <w:t>（三）基本概念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厘清诸如第二课堂、课程体系、教学成果奖、质量监控等基本概念。</w:t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b/>
          <w:bCs/>
          <w:sz w:val="28"/>
          <w:szCs w:val="28"/>
        </w:rPr>
        <w:t>（四）数据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出现在自评报告中的数据前后一致。同一数据在自评报告和数据表中是一致的。如专任教师数量与结构、实验实训室数量与经费、教学科研经费与成果等。</w:t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/>
          <w:b/>
          <w:bCs/>
          <w:sz w:val="28"/>
          <w:szCs w:val="28"/>
        </w:rPr>
        <w:t>二、数据表</w:t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b/>
          <w:bCs/>
          <w:sz w:val="28"/>
          <w:szCs w:val="28"/>
        </w:rPr>
        <w:t>（一）表格格式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eastAsia" w:ascii="Times New Roman" w:hAnsi="Times New Roman"/>
          <w:sz w:val="28"/>
          <w:szCs w:val="28"/>
        </w:rPr>
        <w:t>数据表不改变原表格式。</w:t>
      </w:r>
      <w:r>
        <w:rPr>
          <w:rFonts w:hint="eastAsia" w:ascii="Times New Roman" w:hAnsi="Times New Roman" w:eastAsia="宋体" w:cs="Times New Roman"/>
          <w:sz w:val="28"/>
          <w:szCs w:val="28"/>
        </w:rPr>
        <w:t>表格所填内容</w:t>
      </w:r>
      <w:r>
        <w:rPr>
          <w:rFonts w:hint="eastAsia" w:ascii="Times New Roman" w:hAnsi="Times New Roman"/>
          <w:sz w:val="28"/>
          <w:szCs w:val="28"/>
        </w:rPr>
        <w:t>紧凑，行距设置为单倍行距。表格整体统一、美观。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eastAsia" w:ascii="Times New Roman" w:hAnsi="Times New Roman"/>
          <w:sz w:val="28"/>
          <w:szCs w:val="28"/>
        </w:rPr>
        <w:t>表格没有内容可以填写的，应填“零”或“无”，交稿时确保所有表格都已填写不留空白。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hint="eastAsia" w:ascii="Times New Roman" w:hAnsi="Times New Roman" w:eastAsia="宋体" w:cs="Times New Roman"/>
          <w:sz w:val="28"/>
          <w:szCs w:val="28"/>
        </w:rPr>
        <w:t>表格下面的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“注”需仔细阅读</w:t>
      </w:r>
      <w:r>
        <w:rPr>
          <w:rFonts w:hint="eastAsia" w:ascii="Times New Roman" w:hAnsi="Times New Roman" w:eastAsia="宋体" w:cs="Times New Roman"/>
          <w:sz w:val="28"/>
          <w:szCs w:val="28"/>
        </w:rPr>
        <w:t>。</w:t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b/>
          <w:bCs/>
          <w:sz w:val="28"/>
          <w:szCs w:val="28"/>
        </w:rPr>
        <w:t>（二）表格内容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教师</w:t>
      </w:r>
      <w:r>
        <w:rPr>
          <w:rFonts w:hint="eastAsia" w:ascii="Times New Roman" w:hAnsi="Times New Roman"/>
          <w:sz w:val="28"/>
          <w:szCs w:val="28"/>
        </w:rPr>
        <w:t>学历填本科或研究生，学位填学士、硕士、博士。表3按照职称学历从高到低的顺序填写。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hint="eastAsia" w:ascii="Times New Roman" w:hAnsi="Times New Roman"/>
          <w:sz w:val="28"/>
          <w:szCs w:val="28"/>
        </w:rPr>
        <w:t>部分表格有不超过2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hint="eastAsia" w:ascii="Times New Roman" w:hAnsi="Times New Roman"/>
          <w:sz w:val="28"/>
          <w:szCs w:val="28"/>
        </w:rPr>
        <w:t>项的要求，不需要列出所有。选取重量级的填到表中，按照省部级→市厅级→校级由高到低的顺序排列，同一等级中再按照年份由近及远，即2</w:t>
      </w:r>
      <w:r>
        <w:rPr>
          <w:rFonts w:ascii="Times New Roman" w:hAnsi="Times New Roman"/>
          <w:sz w:val="28"/>
          <w:szCs w:val="28"/>
        </w:rPr>
        <w:t>023</w:t>
      </w:r>
      <w:r>
        <w:rPr>
          <w:rFonts w:hint="eastAsia" w:ascii="Times New Roman" w:hAnsi="Times New Roman"/>
          <w:sz w:val="28"/>
          <w:szCs w:val="28"/>
        </w:rPr>
        <w:t>年→2</w:t>
      </w:r>
      <w:r>
        <w:rPr>
          <w:rFonts w:ascii="Times New Roman" w:hAnsi="Times New Roman"/>
          <w:sz w:val="28"/>
          <w:szCs w:val="28"/>
        </w:rPr>
        <w:t>022</w:t>
      </w:r>
      <w:r>
        <w:rPr>
          <w:rFonts w:hint="eastAsia" w:ascii="Times New Roman" w:hAnsi="Times New Roman"/>
          <w:sz w:val="28"/>
          <w:szCs w:val="28"/>
        </w:rPr>
        <w:t>年→2</w:t>
      </w:r>
      <w:r>
        <w:rPr>
          <w:rFonts w:ascii="Times New Roman" w:hAnsi="Times New Roman"/>
          <w:sz w:val="28"/>
          <w:szCs w:val="28"/>
        </w:rPr>
        <w:t>021</w:t>
      </w:r>
      <w:r>
        <w:rPr>
          <w:rFonts w:hint="eastAsia" w:ascii="Times New Roman" w:hAnsi="Times New Roman"/>
          <w:sz w:val="28"/>
          <w:szCs w:val="28"/>
        </w:rPr>
        <w:t>年→2</w:t>
      </w:r>
      <w:r>
        <w:rPr>
          <w:rFonts w:ascii="Times New Roman" w:hAnsi="Times New Roman"/>
          <w:sz w:val="28"/>
          <w:szCs w:val="28"/>
        </w:rPr>
        <w:t>020</w:t>
      </w:r>
      <w:r>
        <w:rPr>
          <w:rFonts w:hint="eastAsia" w:ascii="Times New Roman" w:hAnsi="Times New Roman"/>
          <w:sz w:val="28"/>
          <w:szCs w:val="28"/>
        </w:rPr>
        <w:t>年→2</w:t>
      </w:r>
      <w:r>
        <w:rPr>
          <w:rFonts w:ascii="Times New Roman" w:hAnsi="Times New Roman"/>
          <w:sz w:val="28"/>
          <w:szCs w:val="28"/>
        </w:rPr>
        <w:t>019</w:t>
      </w:r>
      <w:r>
        <w:rPr>
          <w:rFonts w:hint="eastAsia" w:ascii="Times New Roman" w:hAnsi="Times New Roman"/>
          <w:sz w:val="28"/>
          <w:szCs w:val="28"/>
        </w:rPr>
        <w:t>年的顺序排列。</w:t>
      </w:r>
    </w:p>
    <w:p>
      <w:pPr>
        <w:ind w:firstLine="560" w:firstLineChars="20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eastAsia" w:ascii="Times New Roman" w:hAnsi="Times New Roman"/>
          <w:sz w:val="28"/>
          <w:szCs w:val="28"/>
        </w:rPr>
        <w:t>表7只填省部级以上科研奖励，市厅级不填。</w:t>
      </w:r>
    </w:p>
    <w:p>
      <w:pPr>
        <w:ind w:firstLine="560" w:firstLineChars="200"/>
        <w:rPr>
          <w:rFonts w:ascii="Times New Roman" w:hAnsi="Times New Roman" w:eastAsia="宋体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hint="eastAsia" w:ascii="Times New Roman" w:hAnsi="Times New Roman"/>
          <w:sz w:val="28"/>
          <w:szCs w:val="28"/>
        </w:rPr>
        <w:t>表1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hint="eastAsia" w:ascii="Times New Roman" w:hAnsi="Times New Roman" w:eastAsia="宋体"/>
          <w:snapToGrid w:val="0"/>
          <w:color w:val="000000"/>
          <w:sz w:val="28"/>
          <w:szCs w:val="28"/>
        </w:rPr>
        <w:t>教学实验仪器设备（含软件）情况表需要根据给出的公式合计总数。与本专业无关的设备可以不填。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eastAsia="宋体"/>
          <w:snapToGrid w:val="0"/>
          <w:color w:val="000000"/>
          <w:sz w:val="28"/>
          <w:szCs w:val="28"/>
        </w:rPr>
        <w:t>5</w:t>
      </w:r>
      <w:r>
        <w:rPr>
          <w:rFonts w:ascii="Times New Roman" w:hAnsi="Times New Roman" w:eastAsia="宋体"/>
          <w:snapToGrid w:val="0"/>
          <w:color w:val="000000"/>
          <w:sz w:val="28"/>
          <w:szCs w:val="28"/>
        </w:rPr>
        <w:t>.</w:t>
      </w:r>
      <w:r>
        <w:rPr>
          <w:rFonts w:hint="eastAsia" w:ascii="Times New Roman" w:hAnsi="Times New Roman" w:eastAsia="宋体"/>
          <w:snapToGrid w:val="0"/>
          <w:color w:val="000000"/>
          <w:sz w:val="28"/>
          <w:szCs w:val="28"/>
        </w:rPr>
        <w:t>表1</w:t>
      </w:r>
      <w:r>
        <w:rPr>
          <w:rFonts w:ascii="Times New Roman" w:hAnsi="Times New Roman" w:eastAsia="宋体"/>
          <w:snapToGrid w:val="0"/>
          <w:color w:val="000000"/>
          <w:sz w:val="28"/>
          <w:szCs w:val="28"/>
        </w:rPr>
        <w:t>4</w:t>
      </w:r>
      <w:r>
        <w:rPr>
          <w:rFonts w:hint="eastAsia" w:ascii="Times New Roman" w:hAnsi="Times New Roman" w:eastAsia="宋体"/>
          <w:snapToGrid w:val="0"/>
          <w:color w:val="000000"/>
          <w:sz w:val="28"/>
          <w:szCs w:val="28"/>
        </w:rPr>
        <w:t>中的实践学时所占比例与表1</w:t>
      </w:r>
      <w:r>
        <w:rPr>
          <w:rFonts w:ascii="Times New Roman" w:hAnsi="Times New Roman" w:eastAsia="宋体"/>
          <w:snapToGrid w:val="0"/>
          <w:color w:val="000000"/>
          <w:sz w:val="28"/>
          <w:szCs w:val="28"/>
        </w:rPr>
        <w:t>6</w:t>
      </w:r>
      <w:r>
        <w:rPr>
          <w:rFonts w:hint="eastAsia" w:ascii="Times New Roman" w:hAnsi="Times New Roman" w:eastAsia="宋体"/>
          <w:snapToGrid w:val="0"/>
          <w:color w:val="000000"/>
          <w:sz w:val="28"/>
          <w:szCs w:val="28"/>
        </w:rPr>
        <w:t>应当一致。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hint="eastAsia" w:ascii="Times New Roman" w:hAnsi="Times New Roman"/>
          <w:sz w:val="28"/>
          <w:szCs w:val="28"/>
        </w:rPr>
        <w:t>表1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hint="eastAsia" w:ascii="Times New Roman" w:hAnsi="Times New Roman"/>
          <w:sz w:val="28"/>
          <w:szCs w:val="28"/>
        </w:rPr>
        <w:t>填课程主要内容，而不是教学目标。</w:t>
      </w:r>
    </w:p>
    <w:p>
      <w:pPr>
        <w:ind w:firstLine="560" w:firstLineChars="20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eastAsia" w:ascii="Times New Roman" w:hAnsi="Times New Roman"/>
          <w:sz w:val="28"/>
          <w:szCs w:val="28"/>
        </w:rPr>
        <w:t>表2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hint="eastAsia" w:ascii="Times New Roman" w:hAnsi="Times New Roman"/>
          <w:sz w:val="28"/>
          <w:szCs w:val="28"/>
        </w:rPr>
        <w:t>填写与专业相关的资格证书。</w:t>
      </w:r>
    </w:p>
    <w:p>
      <w:pPr>
        <w:ind w:firstLine="560" w:firstLineChars="200"/>
        <w:rPr>
          <w:rFonts w:hint="eastAsia" w:ascii="Times New Roman" w:hAnsi="Times New Roman" w:eastAsiaTheme="minorEastAsia"/>
          <w:sz w:val="28"/>
          <w:szCs w:val="28"/>
          <w:highlight w:val="yellow"/>
          <w:lang w:eastAsia="zh-CN"/>
        </w:rPr>
      </w:pPr>
      <w:r>
        <w:rPr>
          <w:rFonts w:hint="eastAsia" w:ascii="Times New Roman" w:hAnsi="Times New Roman"/>
          <w:sz w:val="28"/>
          <w:szCs w:val="28"/>
          <w:highlight w:val="yellow"/>
          <w:lang w:eastAsia="zh-CN"/>
        </w:rPr>
        <w:t>（</w:t>
      </w:r>
      <w:r>
        <w:rPr>
          <w:rFonts w:hint="eastAsia" w:ascii="Times New Roman" w:hAnsi="Times New Roman"/>
          <w:sz w:val="28"/>
          <w:szCs w:val="28"/>
          <w:highlight w:val="yellow"/>
          <w:lang w:val="en-US" w:eastAsia="zh-CN"/>
        </w:rPr>
        <w:t>备注：数据表填写务必要严格按照文件备注的要求填写，如实在无奖励、成果等可填的，可以适当把相关性的奖励、成果等填上。</w:t>
      </w:r>
      <w:r>
        <w:rPr>
          <w:rFonts w:hint="eastAsia" w:ascii="Times New Roman" w:hAnsi="Times New Roman"/>
          <w:sz w:val="28"/>
          <w:szCs w:val="28"/>
          <w:highlight w:val="yellow"/>
          <w:lang w:eastAsia="zh-CN"/>
        </w:rPr>
        <w:t>）</w:t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Times New Roman" w:hAnsi="Times New Roman"/>
          <w:b/>
          <w:bCs/>
          <w:sz w:val="28"/>
          <w:szCs w:val="28"/>
        </w:rPr>
        <w:t>三、支撑材料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eastAsia" w:ascii="Times New Roman" w:hAnsi="Times New Roman"/>
          <w:sz w:val="28"/>
          <w:szCs w:val="28"/>
        </w:rPr>
        <w:t>支撑材料以统计表和原始性材料为主。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eastAsia" w:ascii="Times New Roman" w:hAnsi="Times New Roman"/>
          <w:sz w:val="28"/>
          <w:szCs w:val="28"/>
        </w:rPr>
        <w:t>具体内容参照自评报告提纲（附件3）。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kYzJmNTg5ZmYyNzMzMWM1YmNlYjQwZjUzNTcyYjMifQ=="/>
  </w:docVars>
  <w:rsids>
    <w:rsidRoot w:val="00067353"/>
    <w:rsid w:val="00031CD1"/>
    <w:rsid w:val="00067353"/>
    <w:rsid w:val="00071E43"/>
    <w:rsid w:val="000C4F0D"/>
    <w:rsid w:val="000C73EE"/>
    <w:rsid w:val="000C7BEC"/>
    <w:rsid w:val="000D1CF5"/>
    <w:rsid w:val="00116D32"/>
    <w:rsid w:val="0017191D"/>
    <w:rsid w:val="00182111"/>
    <w:rsid w:val="001A7210"/>
    <w:rsid w:val="001A7C0C"/>
    <w:rsid w:val="001B17AA"/>
    <w:rsid w:val="001B4AC3"/>
    <w:rsid w:val="001C2C6B"/>
    <w:rsid w:val="001E4E35"/>
    <w:rsid w:val="001F277B"/>
    <w:rsid w:val="002113E9"/>
    <w:rsid w:val="002A373C"/>
    <w:rsid w:val="002C7AE6"/>
    <w:rsid w:val="00304BC7"/>
    <w:rsid w:val="00342C9B"/>
    <w:rsid w:val="00364AFE"/>
    <w:rsid w:val="003839E5"/>
    <w:rsid w:val="003F2FCD"/>
    <w:rsid w:val="003F73A2"/>
    <w:rsid w:val="004649C3"/>
    <w:rsid w:val="00497AD8"/>
    <w:rsid w:val="004E1D58"/>
    <w:rsid w:val="004F2419"/>
    <w:rsid w:val="00500FDD"/>
    <w:rsid w:val="00512E6B"/>
    <w:rsid w:val="005365C4"/>
    <w:rsid w:val="005A4E4B"/>
    <w:rsid w:val="005E42AF"/>
    <w:rsid w:val="00644696"/>
    <w:rsid w:val="00646936"/>
    <w:rsid w:val="00662F13"/>
    <w:rsid w:val="00666D84"/>
    <w:rsid w:val="00681BC7"/>
    <w:rsid w:val="006A7C9E"/>
    <w:rsid w:val="006E7376"/>
    <w:rsid w:val="007957C7"/>
    <w:rsid w:val="007F4ABC"/>
    <w:rsid w:val="00801F40"/>
    <w:rsid w:val="00807E50"/>
    <w:rsid w:val="008276BD"/>
    <w:rsid w:val="008E1AD0"/>
    <w:rsid w:val="009F4543"/>
    <w:rsid w:val="009F6053"/>
    <w:rsid w:val="00A17373"/>
    <w:rsid w:val="00A26633"/>
    <w:rsid w:val="00A3720B"/>
    <w:rsid w:val="00A47988"/>
    <w:rsid w:val="00A9559D"/>
    <w:rsid w:val="00A977CE"/>
    <w:rsid w:val="00B863F3"/>
    <w:rsid w:val="00BA55CA"/>
    <w:rsid w:val="00C133AF"/>
    <w:rsid w:val="00C55317"/>
    <w:rsid w:val="00C56886"/>
    <w:rsid w:val="00CE557C"/>
    <w:rsid w:val="00D25951"/>
    <w:rsid w:val="00D3024C"/>
    <w:rsid w:val="00D35771"/>
    <w:rsid w:val="00E206DC"/>
    <w:rsid w:val="00E510DD"/>
    <w:rsid w:val="00E915A3"/>
    <w:rsid w:val="00F0760E"/>
    <w:rsid w:val="00F102E1"/>
    <w:rsid w:val="00F37164"/>
    <w:rsid w:val="00F74A6C"/>
    <w:rsid w:val="00F74E91"/>
    <w:rsid w:val="00F76077"/>
    <w:rsid w:val="00F9741D"/>
    <w:rsid w:val="03D81701"/>
    <w:rsid w:val="10C47ECE"/>
    <w:rsid w:val="14AC1EA4"/>
    <w:rsid w:val="1A7975BC"/>
    <w:rsid w:val="1CB83FE3"/>
    <w:rsid w:val="1DAD6772"/>
    <w:rsid w:val="3FB00594"/>
    <w:rsid w:val="44713AC4"/>
    <w:rsid w:val="453C24C7"/>
    <w:rsid w:val="6929742A"/>
    <w:rsid w:val="69BC04BF"/>
    <w:rsid w:val="6A12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87143-A2BE-4ED6-8A7C-7A24854422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1204</Words>
  <Characters>1247</Characters>
  <Lines>9</Lines>
  <Paragraphs>2</Paragraphs>
  <TotalTime>20</TotalTime>
  <ScaleCrop>false</ScaleCrop>
  <LinksUpToDate>false</LinksUpToDate>
  <CharactersWithSpaces>1248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2020-04-26T09:06:00Z</dcterms:created>
  <dc:creator>uw858</dc:creator>
  <cp:lastModifiedBy>ZP-P</cp:lastModifiedBy>
  <cp:lastPrinted>2023-04-24T02:32:00Z</cp:lastPrinted>
  <dcterms:modified xsi:type="dcterms:W3CDTF">2024-06-25T07:20:41Z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BAB9461970544D1292C9251CEB1C8345_12</vt:lpwstr>
  </property>
</Properties>
</file>