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8C022">
      <w:pPr>
        <w:spacing w:line="360" w:lineRule="auto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  <w:lang w:eastAsia="zh-CN"/>
        </w:rPr>
        <w:t>南宁理工</w:t>
      </w:r>
      <w:r>
        <w:rPr>
          <w:rFonts w:hint="eastAsia" w:ascii="仿宋" w:hAnsi="仿宋" w:eastAsia="仿宋"/>
          <w:b/>
          <w:sz w:val="32"/>
          <w:szCs w:val="32"/>
        </w:rPr>
        <w:t>学院</w:t>
      </w:r>
    </w:p>
    <w:p w14:paraId="316F91FA">
      <w:pPr>
        <w:spacing w:line="360" w:lineRule="auto"/>
        <w:jc w:val="center"/>
        <w:rPr>
          <w:rFonts w:hint="eastAsia" w:ascii="仿宋" w:hAnsi="仿宋" w:eastAsia="仿宋"/>
          <w:b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b/>
          <w:sz w:val="32"/>
          <w:szCs w:val="32"/>
        </w:rPr>
        <w:t>-202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b/>
          <w:sz w:val="32"/>
          <w:szCs w:val="32"/>
        </w:rPr>
        <w:t>学年第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b/>
          <w:sz w:val="32"/>
          <w:szCs w:val="32"/>
        </w:rPr>
        <w:t>学期期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中教学检查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自查自评</w:t>
      </w:r>
      <w:r>
        <w:rPr>
          <w:rFonts w:hint="eastAsia" w:ascii="仿宋" w:hAnsi="仿宋" w:eastAsia="仿宋"/>
          <w:b/>
          <w:sz w:val="32"/>
          <w:szCs w:val="32"/>
        </w:rPr>
        <w:t>量化表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（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大数据与人工智能学院</w:t>
      </w:r>
      <w:r>
        <w:rPr>
          <w:rFonts w:hint="eastAsia" w:ascii="仿宋" w:hAnsi="仿宋" w:eastAsia="仿宋"/>
          <w:b/>
          <w:sz w:val="32"/>
          <w:szCs w:val="32"/>
          <w:lang w:eastAsia="zh-CN"/>
        </w:rPr>
        <w:t>）</w:t>
      </w:r>
    </w:p>
    <w:p w14:paraId="41EEA461">
      <w:pPr>
        <w:spacing w:before="156" w:beforeLines="50" w:after="156" w:afterLines="50"/>
        <w:jc w:val="left"/>
        <w:rPr>
          <w:rFonts w:ascii="仿宋" w:hAnsi="仿宋" w:eastAsia="仿宋" w:cs="Times New Roman"/>
          <w:sz w:val="32"/>
          <w:szCs w:val="32"/>
          <w:u w:val="single"/>
        </w:rPr>
      </w:pPr>
      <w:r>
        <w:rPr>
          <w:rFonts w:ascii="仿宋" w:hAnsi="仿宋" w:eastAsia="仿宋" w:cs="Times New Roman"/>
          <w:sz w:val="32"/>
          <w:szCs w:val="32"/>
        </w:rPr>
        <w:t>教学单位名称：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Times New Roman"/>
          <w:sz w:val="32"/>
          <w:szCs w:val="32"/>
          <w:u w:val="single"/>
        </w:rPr>
        <w:t xml:space="preserve">   </w:t>
      </w:r>
      <w:r>
        <w:rPr>
          <w:rFonts w:ascii="仿宋" w:hAnsi="仿宋" w:eastAsia="仿宋" w:cs="Times New Roman"/>
          <w:sz w:val="32"/>
          <w:szCs w:val="32"/>
        </w:rPr>
        <w:t xml:space="preserve">                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     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</w:t>
      </w:r>
      <w:r>
        <w:rPr>
          <w:rFonts w:ascii="仿宋" w:hAnsi="仿宋" w:eastAsia="仿宋" w:cs="Times New Roman"/>
          <w:sz w:val="32"/>
          <w:szCs w:val="32"/>
        </w:rPr>
        <w:t>得分：</w:t>
      </w:r>
      <w:r>
        <w:rPr>
          <w:rFonts w:ascii="仿宋" w:hAnsi="仿宋" w:eastAsia="仿宋" w:cs="Times New Roman"/>
          <w:sz w:val="32"/>
          <w:szCs w:val="32"/>
          <w:u w:val="single"/>
        </w:rPr>
        <w:t xml:space="preserve">                    </w:t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57"/>
        <w:gridCol w:w="1740"/>
        <w:gridCol w:w="4365"/>
        <w:gridCol w:w="2115"/>
        <w:gridCol w:w="4365"/>
        <w:gridCol w:w="815"/>
      </w:tblGrid>
      <w:tr w14:paraId="45E1C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tblHeader/>
          <w:jc w:val="center"/>
        </w:trPr>
        <w:tc>
          <w:tcPr>
            <w:tcW w:w="1153" w:type="dxa"/>
            <w:vAlign w:val="center"/>
          </w:tcPr>
          <w:p w14:paraId="288A81FB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79F87EE4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202992ED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05035ED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7E7628F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C81544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1AA70F1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4E205FE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284A7D7E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4E8232E4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200C7B2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7AE5D9A3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4BBDD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6147485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695153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2A2D9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2CE26D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095819B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34ECB13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7369AB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05536E6D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B168A8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FE8B3D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096A05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B66D19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7D05DE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E7EE2E6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9FDB40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D789E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E502540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03410A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6A312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D62FD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619D6B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0A5924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20D6F8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DA46D6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552D00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AC5526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F076D69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1542BC5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406DAE1E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58DA5F0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3E00882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48680FE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CA6FD8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66AB37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47374B2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AB338B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0EE22D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A90B1F4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7B0B34B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4B6913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745BEFB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FB61BE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3F37A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16484027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1982F6F">
            <w:pPr>
              <w:spacing w:line="240" w:lineRule="exact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D3E7FB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060877A8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49492F">
            <w:pPr>
              <w:spacing w:line="480" w:lineRule="auto"/>
              <w:ind w:firstLine="240" w:firstLineChars="1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2FF0FEF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4F65445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B78297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0F045C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50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757" w:type="dxa"/>
            <w:vMerge w:val="restart"/>
            <w:vAlign w:val="center"/>
          </w:tcPr>
          <w:p w14:paraId="50AA686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6F2CB60D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39DF7E9C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325804C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449E70F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（1）人才培养方案</w:t>
            </w:r>
          </w:p>
          <w:p w14:paraId="1ADC7FC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5CC500E8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培养方案反映专业培养目标，体现了德、智、体、美、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劳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全面发展的要求</w:t>
            </w:r>
          </w:p>
        </w:tc>
        <w:tc>
          <w:tcPr>
            <w:tcW w:w="2115" w:type="dxa"/>
            <w:vAlign w:val="center"/>
          </w:tcPr>
          <w:p w14:paraId="07DEA5E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翻阅人才培养方案及相关材料</w:t>
            </w:r>
          </w:p>
        </w:tc>
        <w:tc>
          <w:tcPr>
            <w:tcW w:w="4365" w:type="dxa"/>
            <w:vAlign w:val="center"/>
          </w:tcPr>
          <w:p w14:paraId="6EB345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7F08D5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7592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4A5B30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D5AFC2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7AE5F3A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（2）教学大纲、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</w:t>
            </w:r>
          </w:p>
          <w:p w14:paraId="618E1D1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  <w:p w14:paraId="6052580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5ED3FB5D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教学大纲规范完备，明确课程对人才培养目标、要求的有效支撑；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教学进度符合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教学大纲要求，结合课程标准与学生实际，计划详细、具体，可操作性强</w:t>
            </w:r>
          </w:p>
        </w:tc>
        <w:tc>
          <w:tcPr>
            <w:tcW w:w="2115" w:type="dxa"/>
            <w:vAlign w:val="center"/>
          </w:tcPr>
          <w:p w14:paraId="1AAD999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highlight w:val="none"/>
                <w:lang w:eastAsia="zh-CN"/>
              </w:rPr>
              <w:t>查看教学大纲、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进度表</w:t>
            </w:r>
          </w:p>
        </w:tc>
        <w:tc>
          <w:tcPr>
            <w:tcW w:w="4365" w:type="dxa"/>
            <w:vAlign w:val="center"/>
          </w:tcPr>
          <w:p w14:paraId="28B37B3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16F02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6971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32BA37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133AF91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870BDDB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  <w:p w14:paraId="6E6EFCF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5B250A5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教学进度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表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与实际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授课情况需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日志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填写认真、全面、规范、突出重难点</w:t>
            </w:r>
          </w:p>
        </w:tc>
        <w:tc>
          <w:tcPr>
            <w:tcW w:w="2115" w:type="dxa"/>
            <w:vAlign w:val="center"/>
          </w:tcPr>
          <w:p w14:paraId="227F2D9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教学日志</w:t>
            </w:r>
          </w:p>
        </w:tc>
        <w:tc>
          <w:tcPr>
            <w:tcW w:w="4365" w:type="dxa"/>
            <w:vAlign w:val="center"/>
          </w:tcPr>
          <w:p w14:paraId="1C27557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4489D6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4C87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1B0786C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053CC59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D062AC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（4）教案编写情况</w:t>
            </w:r>
          </w:p>
          <w:p w14:paraId="038AC357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6BD685B">
            <w:pPr>
              <w:spacing w:line="320" w:lineRule="exact"/>
              <w:ind w:left="1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有详细地表述课堂每一教学活动内容和方法的教案，教案书写工整，详细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教学设计融入思政元素</w:t>
            </w:r>
          </w:p>
        </w:tc>
        <w:tc>
          <w:tcPr>
            <w:tcW w:w="2115" w:type="dxa"/>
            <w:vAlign w:val="center"/>
          </w:tcPr>
          <w:p w14:paraId="0EF9AB5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翻阅教案</w:t>
            </w:r>
          </w:p>
        </w:tc>
        <w:tc>
          <w:tcPr>
            <w:tcW w:w="4365" w:type="dxa"/>
            <w:vAlign w:val="center"/>
          </w:tcPr>
          <w:p w14:paraId="3F1E7C8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519FA38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F58D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A5AD4B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6B5E281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1B955D0">
            <w:pPr>
              <w:numPr>
                <w:ilvl w:val="0"/>
                <w:numId w:val="0"/>
              </w:numPr>
              <w:spacing w:line="320" w:lineRule="exact"/>
              <w:ind w:left="0" w:leftChars="0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（5）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开课申请</w:t>
            </w:r>
          </w:p>
          <w:p w14:paraId="66CDCAB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F4FC523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开课论证审议表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及相关材料（新开课课程清单、教师开课论证审议表、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开课论证报告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等）完备、详细</w:t>
            </w:r>
          </w:p>
        </w:tc>
        <w:tc>
          <w:tcPr>
            <w:tcW w:w="2115" w:type="dxa"/>
            <w:vAlign w:val="center"/>
          </w:tcPr>
          <w:p w14:paraId="7323E119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按照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新开课课程清单，翻阅教师开课论证审议表及相关材料</w:t>
            </w:r>
          </w:p>
        </w:tc>
        <w:tc>
          <w:tcPr>
            <w:tcW w:w="4365" w:type="dxa"/>
            <w:vAlign w:val="center"/>
          </w:tcPr>
          <w:p w14:paraId="7F18500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A01A36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C618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tblHeader/>
          <w:jc w:val="center"/>
        </w:trPr>
        <w:tc>
          <w:tcPr>
            <w:tcW w:w="1153" w:type="dxa"/>
            <w:vAlign w:val="center"/>
          </w:tcPr>
          <w:p w14:paraId="7D7D3785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203F0DB1">
            <w:pPr>
              <w:spacing w:line="36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351EFA16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1F22230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2529F48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582CB364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9D2515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76DE45B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7813B348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68E9039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308277C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5BEFBEF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3373D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0FC6AB8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3897D09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6E8E360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C33CA9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7847554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1D999E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45D0FD0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1.</w:t>
            </w:r>
          </w:p>
          <w:p w14:paraId="5C732CC6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6674C0C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文件</w:t>
            </w:r>
          </w:p>
          <w:p w14:paraId="3006DE3E">
            <w:pPr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1740" w:type="dxa"/>
            <w:vAlign w:val="center"/>
          </w:tcPr>
          <w:p w14:paraId="3533B5B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（6）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学生考勤</w:t>
            </w:r>
          </w:p>
          <w:p w14:paraId="2AD78E84">
            <w:p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3分</w:t>
            </w:r>
          </w:p>
        </w:tc>
        <w:tc>
          <w:tcPr>
            <w:tcW w:w="4365" w:type="dxa"/>
            <w:vAlign w:val="center"/>
          </w:tcPr>
          <w:p w14:paraId="745EADD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认真执行学生考勤，考勤次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数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不少于总课次的五分之四</w:t>
            </w:r>
          </w:p>
        </w:tc>
        <w:tc>
          <w:tcPr>
            <w:tcW w:w="2115" w:type="dxa"/>
            <w:vAlign w:val="center"/>
          </w:tcPr>
          <w:p w14:paraId="6FD7F59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翻阅学生考勤</w:t>
            </w:r>
          </w:p>
          <w:p w14:paraId="49C0BF3A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名单</w:t>
            </w:r>
          </w:p>
        </w:tc>
        <w:tc>
          <w:tcPr>
            <w:tcW w:w="4365" w:type="dxa"/>
            <w:vAlign w:val="center"/>
          </w:tcPr>
          <w:p w14:paraId="1256E59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210ED0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3AB3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839ECF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495764F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483D599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作业批改情况 </w:t>
            </w:r>
          </w:p>
          <w:p w14:paraId="3DE73295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000F7547">
            <w:pPr>
              <w:spacing w:line="320" w:lineRule="exact"/>
              <w:ind w:left="1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布置学生作业次数符合规定；及时批改作业，批改细致认真，有评语，且全部批改（作业量大的，每次批改不少于1/3）</w:t>
            </w:r>
          </w:p>
        </w:tc>
        <w:tc>
          <w:tcPr>
            <w:tcW w:w="2115" w:type="dxa"/>
            <w:vAlign w:val="center"/>
          </w:tcPr>
          <w:p w14:paraId="0DBC264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翻阅学生作业本</w:t>
            </w:r>
          </w:p>
        </w:tc>
        <w:tc>
          <w:tcPr>
            <w:tcW w:w="4365" w:type="dxa"/>
            <w:vAlign w:val="center"/>
          </w:tcPr>
          <w:p w14:paraId="02AF044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E72837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C70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D0BD4A3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0D6C00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33F08CC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多媒体</w:t>
            </w:r>
          </w:p>
          <w:p w14:paraId="678E20C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课件</w:t>
            </w:r>
          </w:p>
          <w:p w14:paraId="0665D727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C6D4C04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教学内容正确且符合教学大纲，重难点突出，知识循序渐进；文字、图像、音频、视频切合教学主题，匹配适当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2115" w:type="dxa"/>
            <w:vAlign w:val="center"/>
          </w:tcPr>
          <w:p w14:paraId="1CC3BA6A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查看多媒体课件</w:t>
            </w:r>
          </w:p>
        </w:tc>
        <w:tc>
          <w:tcPr>
            <w:tcW w:w="4365" w:type="dxa"/>
            <w:vAlign w:val="center"/>
          </w:tcPr>
          <w:p w14:paraId="6D1323E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6EFF4A2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1B1C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700842B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3C30CA08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2.</w:t>
            </w:r>
          </w:p>
          <w:p w14:paraId="63F42A6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教学管理</w:t>
            </w:r>
          </w:p>
          <w:p w14:paraId="1D857BCD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66C24CB1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FD08C4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听课制度</w:t>
            </w:r>
          </w:p>
          <w:p w14:paraId="58888391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70A094D3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严格执行听课制度，完成本学期一半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4课时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听课任务，认真填写听课记录表，能够提出优缺点，并填写学生考勤</w:t>
            </w:r>
          </w:p>
        </w:tc>
        <w:tc>
          <w:tcPr>
            <w:tcW w:w="2115" w:type="dxa"/>
            <w:vAlign w:val="center"/>
          </w:tcPr>
          <w:p w14:paraId="359E090F">
            <w:p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翻阅听课记录表</w:t>
            </w:r>
          </w:p>
        </w:tc>
        <w:tc>
          <w:tcPr>
            <w:tcW w:w="4365" w:type="dxa"/>
            <w:vAlign w:val="center"/>
          </w:tcPr>
          <w:p w14:paraId="6EB67509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D7A8FA4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9E22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35D0FDE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3BF6CF4F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70FD9FD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（2）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教学事故</w:t>
            </w:r>
          </w:p>
          <w:p w14:paraId="05A20D42">
            <w:pPr>
              <w:spacing w:line="320" w:lineRule="exact"/>
              <w:jc w:val="center"/>
              <w:rPr>
                <w:rFonts w:ascii="仿宋" w:hAnsi="仿宋" w:eastAsia="仿宋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7380ABF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教师严格遵守教学纪律，未出现教学事故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。如有出现，一次扣0.5分</w:t>
            </w:r>
          </w:p>
        </w:tc>
        <w:tc>
          <w:tcPr>
            <w:tcW w:w="2115" w:type="dxa"/>
            <w:vAlign w:val="center"/>
          </w:tcPr>
          <w:p w14:paraId="472CF56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查看学校教学</w:t>
            </w:r>
          </w:p>
          <w:p w14:paraId="32AE2FBF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事故文件</w:t>
            </w:r>
          </w:p>
        </w:tc>
        <w:tc>
          <w:tcPr>
            <w:tcW w:w="4365" w:type="dxa"/>
            <w:vAlign w:val="center"/>
          </w:tcPr>
          <w:p w14:paraId="243F71F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1863D22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BF1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0676FD11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B3FAD97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1773F93E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学生评教</w:t>
            </w:r>
          </w:p>
          <w:p w14:paraId="401FF4C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41E163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上学期学生网上评教率大于95%</w:t>
            </w:r>
          </w:p>
        </w:tc>
        <w:tc>
          <w:tcPr>
            <w:tcW w:w="2115" w:type="dxa"/>
            <w:vAlign w:val="center"/>
          </w:tcPr>
          <w:p w14:paraId="45077670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查看上学期评教数据</w:t>
            </w:r>
          </w:p>
        </w:tc>
        <w:tc>
          <w:tcPr>
            <w:tcW w:w="4365" w:type="dxa"/>
            <w:vAlign w:val="center"/>
          </w:tcPr>
          <w:p w14:paraId="2A53D93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70BFA5B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2927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EAA8CDF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CE7CBA3">
            <w:pPr>
              <w:ind w:left="-17" w:leftChars="-8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40" w:type="dxa"/>
            <w:vAlign w:val="center"/>
          </w:tcPr>
          <w:p w14:paraId="07D107F6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</w:p>
          <w:p w14:paraId="341DB768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6F1044BB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积极、认真组织教研室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每个教研室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（组）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每学期集体活动不少于4次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期中检查时须完成2次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115" w:type="dxa"/>
            <w:vAlign w:val="center"/>
          </w:tcPr>
          <w:p w14:paraId="75E6C810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查看教研室活动记录/纪要或总结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活动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内容要详细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记录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、有活动</w:t>
            </w:r>
          </w:p>
          <w:p w14:paraId="2EA87A15">
            <w:p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图片）</w:t>
            </w:r>
          </w:p>
        </w:tc>
        <w:tc>
          <w:tcPr>
            <w:tcW w:w="4365" w:type="dxa"/>
            <w:vAlign w:val="center"/>
          </w:tcPr>
          <w:p w14:paraId="526B317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815" w:type="dxa"/>
            <w:vAlign w:val="center"/>
          </w:tcPr>
          <w:p w14:paraId="3135F936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947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tblHeader/>
          <w:jc w:val="center"/>
        </w:trPr>
        <w:tc>
          <w:tcPr>
            <w:tcW w:w="1153" w:type="dxa"/>
            <w:vAlign w:val="center"/>
          </w:tcPr>
          <w:p w14:paraId="0693611E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A5B3DB4">
            <w:pPr>
              <w:spacing w:line="36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57" w:type="dxa"/>
            <w:vAlign w:val="center"/>
          </w:tcPr>
          <w:p w14:paraId="3A2BFC7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3CD489E6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740" w:type="dxa"/>
            <w:vAlign w:val="center"/>
          </w:tcPr>
          <w:p w14:paraId="7CE7913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1954EA73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65" w:type="dxa"/>
            <w:vAlign w:val="center"/>
          </w:tcPr>
          <w:p w14:paraId="20A95F02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15" w:type="dxa"/>
            <w:vAlign w:val="center"/>
          </w:tcPr>
          <w:p w14:paraId="05D5CD08">
            <w:pPr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365" w:type="dxa"/>
            <w:vAlign w:val="center"/>
          </w:tcPr>
          <w:p w14:paraId="23EEF500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F34083E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815" w:type="dxa"/>
            <w:vAlign w:val="center"/>
          </w:tcPr>
          <w:p w14:paraId="6F1DF0DC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val="en-US" w:eastAsia="zh-CN"/>
              </w:rPr>
              <w:t>评价</w:t>
            </w:r>
          </w:p>
          <w:p w14:paraId="32EC4BC4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0F7B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5" w:hRule="atLeast"/>
          <w:tblHeader/>
          <w:jc w:val="center"/>
        </w:trPr>
        <w:tc>
          <w:tcPr>
            <w:tcW w:w="1153" w:type="dxa"/>
            <w:vMerge w:val="restart"/>
            <w:vAlign w:val="center"/>
          </w:tcPr>
          <w:p w14:paraId="45D6EB6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一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、</w:t>
            </w:r>
          </w:p>
          <w:p w14:paraId="67A66CC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理论</w:t>
            </w:r>
          </w:p>
          <w:p w14:paraId="0E093C82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7BE8762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140001C9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54E556D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restart"/>
            <w:vAlign w:val="center"/>
          </w:tcPr>
          <w:p w14:paraId="109A2F1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  <w:p w14:paraId="6B017DD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3.</w:t>
            </w:r>
          </w:p>
          <w:p w14:paraId="062E27E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课程考核环节</w:t>
            </w:r>
          </w:p>
          <w:p w14:paraId="49792688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15分</w:t>
            </w:r>
          </w:p>
        </w:tc>
        <w:tc>
          <w:tcPr>
            <w:tcW w:w="1740" w:type="dxa"/>
            <w:vAlign w:val="center"/>
          </w:tcPr>
          <w:p w14:paraId="73E2393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1）考查课程材料</w:t>
            </w:r>
          </w:p>
          <w:p w14:paraId="237A4332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7F1F5EB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课程的考核方式按人才培养方案及教学大纲要求确定，以课程教学大纲和教学计划进度为依据，采用合理、科学的方式对学生进行考核，考核过程材料齐全（学生作业、平时成绩、成绩单、成绩分析等）</w:t>
            </w:r>
          </w:p>
        </w:tc>
        <w:tc>
          <w:tcPr>
            <w:tcW w:w="2115" w:type="dxa"/>
            <w:vAlign w:val="center"/>
          </w:tcPr>
          <w:p w14:paraId="7070578D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273E5442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677C08D">
            <w:pP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7086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3477C58A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27A2FFBD">
            <w:pPr>
              <w:ind w:left="-17" w:leftChars="-8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24E5CA5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2）考查课成绩评定</w:t>
            </w:r>
          </w:p>
          <w:p w14:paraId="196EC81F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05A9E66E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考查课程可采用五级制或百分制评分，百分制与五级制按文件规定折算，课程总评由平时成绩、期末考核成绩等构成，具体构成依据课程教学大纲设定，平时成绩有清晰明确的评分依据</w:t>
            </w:r>
          </w:p>
        </w:tc>
        <w:tc>
          <w:tcPr>
            <w:tcW w:w="2115" w:type="dxa"/>
            <w:vAlign w:val="center"/>
          </w:tcPr>
          <w:p w14:paraId="1705931C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查看上一学期考查课程材料</w:t>
            </w:r>
          </w:p>
        </w:tc>
        <w:tc>
          <w:tcPr>
            <w:tcW w:w="4365" w:type="dxa"/>
            <w:vAlign w:val="center"/>
          </w:tcPr>
          <w:p w14:paraId="5CC5E35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02A6444E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0160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66AE6FDC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386E08CA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571E12C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3）课程教学总结</w:t>
            </w:r>
          </w:p>
          <w:p w14:paraId="57F735D8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65" w:type="dxa"/>
            <w:vAlign w:val="center"/>
          </w:tcPr>
          <w:p w14:paraId="4C33BB2F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课程教学总结填写规范，需对课程的教与学进行分析和总结</w:t>
            </w:r>
          </w:p>
        </w:tc>
        <w:tc>
          <w:tcPr>
            <w:tcW w:w="2115" w:type="dxa"/>
            <w:vAlign w:val="center"/>
          </w:tcPr>
          <w:p w14:paraId="409D0542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查看上一学期课程教学总结</w:t>
            </w:r>
          </w:p>
        </w:tc>
        <w:tc>
          <w:tcPr>
            <w:tcW w:w="4365" w:type="dxa"/>
            <w:vAlign w:val="center"/>
          </w:tcPr>
          <w:p w14:paraId="5B8BE04C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1286A19A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248C0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  <w:tblHeader/>
          <w:jc w:val="center"/>
        </w:trPr>
        <w:tc>
          <w:tcPr>
            <w:tcW w:w="1153" w:type="dxa"/>
            <w:vMerge w:val="continue"/>
            <w:vAlign w:val="center"/>
          </w:tcPr>
          <w:p w14:paraId="5831CE15">
            <w:pPr>
              <w:spacing w:line="24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57" w:type="dxa"/>
            <w:vMerge w:val="continue"/>
            <w:vAlign w:val="center"/>
          </w:tcPr>
          <w:p w14:paraId="58251F90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40" w:type="dxa"/>
            <w:vAlign w:val="center"/>
          </w:tcPr>
          <w:p w14:paraId="34B54445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  <w:lang w:val="en-US" w:eastAsia="zh-CN"/>
              </w:rPr>
              <w:t>（4）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 xml:space="preserve">文件归档  </w:t>
            </w:r>
          </w:p>
          <w:p w14:paraId="569A98E1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65" w:type="dxa"/>
            <w:vAlign w:val="center"/>
          </w:tcPr>
          <w:p w14:paraId="41E41654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en-US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上学期教学文件已全部归档，规范整齐</w:t>
            </w:r>
          </w:p>
        </w:tc>
        <w:tc>
          <w:tcPr>
            <w:tcW w:w="2115" w:type="dxa"/>
            <w:vAlign w:val="center"/>
          </w:tcPr>
          <w:p w14:paraId="706473E8">
            <w:pPr>
              <w:spacing w:line="32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查看档案</w:t>
            </w:r>
          </w:p>
        </w:tc>
        <w:tc>
          <w:tcPr>
            <w:tcW w:w="4365" w:type="dxa"/>
            <w:vAlign w:val="center"/>
          </w:tcPr>
          <w:p w14:paraId="3267AF4F">
            <w:pPr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5" w:type="dxa"/>
            <w:vAlign w:val="center"/>
          </w:tcPr>
          <w:p w14:paraId="2F58F3F0">
            <w:pPr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770ECF43">
      <w:pPr>
        <w:rPr>
          <w:rFonts w:ascii="仿宋" w:hAnsi="仿宋" w:eastAsia="仿宋"/>
          <w:sz w:val="24"/>
          <w:szCs w:val="24"/>
        </w:rPr>
      </w:pPr>
    </w:p>
    <w:p w14:paraId="69A65C6E">
      <w:pPr>
        <w:widowControl/>
        <w:jc w:val="left"/>
        <w:rPr>
          <w:rFonts w:ascii="仿宋" w:hAnsi="仿宋" w:eastAsia="仿宋"/>
          <w:sz w:val="24"/>
          <w:szCs w:val="24"/>
        </w:rPr>
      </w:pPr>
      <w:r>
        <w:rPr>
          <w:rFonts w:ascii="仿宋" w:hAnsi="仿宋" w:eastAsia="仿宋"/>
          <w:sz w:val="24"/>
          <w:szCs w:val="24"/>
        </w:rPr>
        <w:br w:type="page"/>
      </w:r>
    </w:p>
    <w:tbl>
      <w:tblPr>
        <w:tblStyle w:val="6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787"/>
        <w:gridCol w:w="1695"/>
        <w:gridCol w:w="4380"/>
        <w:gridCol w:w="2130"/>
        <w:gridCol w:w="4456"/>
        <w:gridCol w:w="709"/>
      </w:tblGrid>
      <w:tr w14:paraId="0A6EE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tcBorders>
              <w:bottom w:val="single" w:color="auto" w:sz="4" w:space="0"/>
            </w:tcBorders>
            <w:vAlign w:val="center"/>
          </w:tcPr>
          <w:p w14:paraId="298EF433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40C265A8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tcBorders>
              <w:bottom w:val="single" w:color="auto" w:sz="4" w:space="0"/>
            </w:tcBorders>
            <w:vAlign w:val="center"/>
          </w:tcPr>
          <w:p w14:paraId="31809E1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6A8D65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CEB7BD9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027F1FDA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1FEA9A30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06F8E02F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2B65A807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01BAB6F5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66D7E24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5F056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153" w:type="dxa"/>
            <w:vMerge w:val="restart"/>
            <w:vAlign w:val="center"/>
          </w:tcPr>
          <w:p w14:paraId="5A716FD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68BF1F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A1A153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6914313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2522C94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368F8A0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4D175C2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2162F87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24556D0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5A0580E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27413AB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 w14:paraId="395E8DE0">
            <w:pPr>
              <w:spacing w:line="480" w:lineRule="auto"/>
              <w:jc w:val="both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BEEC4E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3A4A341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教学文件</w:t>
            </w:r>
          </w:p>
          <w:p w14:paraId="205059D5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59671C2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实验、实习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计划</w:t>
            </w:r>
          </w:p>
          <w:p w14:paraId="625E6925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1793DE77">
            <w:pPr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实验教学计划，实习计划表齐全；实验开出率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达到教学大纲要求的90%</w:t>
            </w:r>
          </w:p>
        </w:tc>
        <w:tc>
          <w:tcPr>
            <w:tcW w:w="2130" w:type="dxa"/>
            <w:vAlign w:val="center"/>
          </w:tcPr>
          <w:p w14:paraId="35FD2A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实验、实习项目一览表、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检查实验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实习计划</w:t>
            </w:r>
          </w:p>
        </w:tc>
        <w:tc>
          <w:tcPr>
            <w:tcW w:w="4456" w:type="dxa"/>
            <w:vAlign w:val="center"/>
          </w:tcPr>
          <w:p w14:paraId="559B2AA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6F1AD1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18719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29A2B0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435A30B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318DDC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指导书</w:t>
            </w:r>
          </w:p>
          <w:p w14:paraId="0960F3A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56A16FEA">
            <w:pPr>
              <w:ind w:left="1" w:right="-128" w:rightChars="-61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选用推荐或自编有特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  <w:highlight w:val="none"/>
              </w:rPr>
              <w:t>色的实验、实习指导书并及时更新；学生自主完成的综合性、设计性实验比例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50%及以上</w:t>
            </w:r>
          </w:p>
        </w:tc>
        <w:tc>
          <w:tcPr>
            <w:tcW w:w="2130" w:type="dxa"/>
            <w:vAlign w:val="center"/>
          </w:tcPr>
          <w:p w14:paraId="6D6F49E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翻阅指导书</w:t>
            </w:r>
          </w:p>
        </w:tc>
        <w:tc>
          <w:tcPr>
            <w:tcW w:w="4456" w:type="dxa"/>
            <w:vAlign w:val="center"/>
          </w:tcPr>
          <w:p w14:paraId="424875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62852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31F65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301FA94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646652A1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.</w:t>
            </w:r>
          </w:p>
          <w:p w14:paraId="6C257EE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记录与</w:t>
            </w:r>
          </w:p>
          <w:p w14:paraId="703D47C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报告</w:t>
            </w:r>
          </w:p>
          <w:p w14:paraId="7FB9DAA9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7C0AEB7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（1）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实验、</w:t>
            </w:r>
          </w:p>
          <w:p w14:paraId="67837741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实习记录</w:t>
            </w:r>
          </w:p>
          <w:p w14:paraId="76671BCA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60BB771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实验、实习过程记录信息详实，记录认真规范</w:t>
            </w:r>
          </w:p>
        </w:tc>
        <w:tc>
          <w:tcPr>
            <w:tcW w:w="2130" w:type="dxa"/>
            <w:vAlign w:val="center"/>
          </w:tcPr>
          <w:p w14:paraId="1C47DFF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翻阅实验教学日记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50E2BC0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254CA23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7E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153" w:type="dxa"/>
            <w:vMerge w:val="continue"/>
            <w:vAlign w:val="center"/>
          </w:tcPr>
          <w:p w14:paraId="0D546D9A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D0F28D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4B538F9D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）生产实习</w:t>
            </w:r>
          </w:p>
          <w:p w14:paraId="5A6303D6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记录</w:t>
            </w:r>
          </w:p>
          <w:p w14:paraId="610081AB">
            <w:pPr>
              <w:numPr>
                <w:ilvl w:val="0"/>
                <w:numId w:val="0"/>
              </w:numPr>
              <w:ind w:left="-109" w:leftChars="-52" w:right="-115" w:rightChars="-55"/>
              <w:jc w:val="center"/>
              <w:rPr>
                <w:rFonts w:hint="default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4380" w:type="dxa"/>
            <w:vAlign w:val="center"/>
          </w:tcPr>
          <w:p w14:paraId="3F6267BE"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4"/>
                <w:lang w:eastAsia="zh-CN"/>
              </w:rPr>
              <w:t>生产</w:t>
            </w: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实习过程记录信息详实，记录认真规范</w:t>
            </w:r>
          </w:p>
        </w:tc>
        <w:tc>
          <w:tcPr>
            <w:tcW w:w="2130" w:type="dxa"/>
            <w:vAlign w:val="center"/>
          </w:tcPr>
          <w:p w14:paraId="1840C72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翻阅实习带队老师工作手册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、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学生实习手册</w:t>
            </w:r>
          </w:p>
        </w:tc>
        <w:tc>
          <w:tcPr>
            <w:tcW w:w="4456" w:type="dxa"/>
            <w:vAlign w:val="center"/>
          </w:tcPr>
          <w:p w14:paraId="3D04148F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C71A3A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0A326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2B20255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18F4AC6C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55DDD90C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（3）实验、</w:t>
            </w:r>
          </w:p>
          <w:p w14:paraId="17A9C25D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实习报告</w:t>
            </w:r>
          </w:p>
          <w:p w14:paraId="0D33CC50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4A8C67B7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kern w:val="0"/>
                <w:sz w:val="24"/>
                <w:szCs w:val="24"/>
              </w:rPr>
              <w:t>指导学生撰写内容详实、形式规范、总结分析完善的实验、实习报告。100%批改，并在批语中帮助学生分析报告中存在的问题，使学生改进学习，养成严谨治学的作风</w:t>
            </w:r>
          </w:p>
        </w:tc>
        <w:tc>
          <w:tcPr>
            <w:tcW w:w="2130" w:type="dxa"/>
            <w:vAlign w:val="center"/>
          </w:tcPr>
          <w:p w14:paraId="34A9D1B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翻阅学生实验、实习报告</w:t>
            </w:r>
          </w:p>
        </w:tc>
        <w:tc>
          <w:tcPr>
            <w:tcW w:w="4456" w:type="dxa"/>
            <w:vAlign w:val="center"/>
          </w:tcPr>
          <w:p w14:paraId="7FF6502C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012A973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7D61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5" w:hRule="atLeast"/>
          <w:jc w:val="center"/>
        </w:trPr>
        <w:tc>
          <w:tcPr>
            <w:tcW w:w="1153" w:type="dxa"/>
            <w:vMerge w:val="continue"/>
            <w:vAlign w:val="center"/>
          </w:tcPr>
          <w:p w14:paraId="56D8D6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7100F9A0">
            <w:pPr>
              <w:spacing w:line="240" w:lineRule="exact"/>
              <w:jc w:val="center"/>
              <w:rPr>
                <w:rFonts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BB7A707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hint="default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成绩评定</w:t>
            </w:r>
          </w:p>
          <w:p w14:paraId="676F2736">
            <w:pPr>
              <w:numPr>
                <w:ilvl w:val="0"/>
                <w:numId w:val="0"/>
              </w:numPr>
              <w:spacing w:line="320" w:lineRule="exact"/>
              <w:jc w:val="center"/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分</w:t>
            </w:r>
          </w:p>
        </w:tc>
        <w:tc>
          <w:tcPr>
            <w:tcW w:w="4380" w:type="dxa"/>
            <w:vAlign w:val="center"/>
          </w:tcPr>
          <w:p w14:paraId="0FEF43C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学生实验、实习成绩分项评分标准及考核办法科学合理，有利于学生动手能力培养，且严格实施；试卷或考核记录准确、合理；实验、实习报告格式规范，有实验原始数据记录，批改及时</w:t>
            </w:r>
          </w:p>
        </w:tc>
        <w:tc>
          <w:tcPr>
            <w:tcW w:w="2130" w:type="dxa"/>
            <w:vAlign w:val="center"/>
          </w:tcPr>
          <w:p w14:paraId="2FF34CDA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翻阅课程考核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情况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；翻阅报告</w:t>
            </w:r>
          </w:p>
        </w:tc>
        <w:tc>
          <w:tcPr>
            <w:tcW w:w="4456" w:type="dxa"/>
            <w:vAlign w:val="center"/>
          </w:tcPr>
          <w:p w14:paraId="5A9ED051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770C84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61034F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1153" w:type="dxa"/>
            <w:vAlign w:val="center"/>
          </w:tcPr>
          <w:p w14:paraId="45DFC8B2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一级</w:t>
            </w:r>
          </w:p>
          <w:p w14:paraId="3A12564A">
            <w:pPr>
              <w:spacing w:line="360" w:lineRule="exact"/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787" w:type="dxa"/>
            <w:vAlign w:val="center"/>
          </w:tcPr>
          <w:p w14:paraId="782024F8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二级</w:t>
            </w:r>
          </w:p>
          <w:p w14:paraId="6F788178">
            <w:pPr>
              <w:jc w:val="center"/>
              <w:rPr>
                <w:rFonts w:hint="eastAsia"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969ABCB">
            <w:pPr>
              <w:jc w:val="center"/>
              <w:rPr>
                <w:rFonts w:ascii="仿宋" w:hAnsi="仿宋" w:eastAsia="仿宋" w:cs="Times New Roman"/>
                <w:b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三级</w:t>
            </w:r>
          </w:p>
          <w:p w14:paraId="7C278736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指标</w:t>
            </w:r>
          </w:p>
        </w:tc>
        <w:tc>
          <w:tcPr>
            <w:tcW w:w="4380" w:type="dxa"/>
            <w:vAlign w:val="center"/>
          </w:tcPr>
          <w:p w14:paraId="4FD4B088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考核内容</w:t>
            </w:r>
          </w:p>
        </w:tc>
        <w:tc>
          <w:tcPr>
            <w:tcW w:w="2130" w:type="dxa"/>
            <w:vAlign w:val="center"/>
          </w:tcPr>
          <w:p w14:paraId="3BE36B8E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考核办法</w:t>
            </w:r>
          </w:p>
        </w:tc>
        <w:tc>
          <w:tcPr>
            <w:tcW w:w="4456" w:type="dxa"/>
            <w:vAlign w:val="center"/>
          </w:tcPr>
          <w:p w14:paraId="1B698D06">
            <w:pPr>
              <w:jc w:val="center"/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</w:p>
          <w:p w14:paraId="731E0698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65A606AA">
            <w:pPr>
              <w:jc w:val="center"/>
              <w:rPr>
                <w:rFonts w:ascii="仿宋" w:hAnsi="仿宋" w:eastAsia="仿宋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sz w:val="24"/>
                <w:szCs w:val="24"/>
                <w:lang w:eastAsia="zh-CN"/>
              </w:rPr>
              <w:t>评价</w:t>
            </w:r>
            <w:r>
              <w:rPr>
                <w:rFonts w:ascii="仿宋" w:hAnsi="仿宋" w:eastAsia="仿宋" w:cs="Times New Roman"/>
                <w:b/>
                <w:sz w:val="24"/>
                <w:szCs w:val="24"/>
              </w:rPr>
              <w:t>得分</w:t>
            </w:r>
          </w:p>
        </w:tc>
      </w:tr>
      <w:tr w14:paraId="6027B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  <w:jc w:val="center"/>
        </w:trPr>
        <w:tc>
          <w:tcPr>
            <w:tcW w:w="1153" w:type="dxa"/>
            <w:vMerge w:val="restart"/>
            <w:vAlign w:val="center"/>
          </w:tcPr>
          <w:p w14:paraId="3E78A258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二、</w:t>
            </w:r>
          </w:p>
          <w:p w14:paraId="04B8D349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实践</w:t>
            </w:r>
          </w:p>
          <w:p w14:paraId="03D6E75C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教学</w:t>
            </w:r>
          </w:p>
          <w:p w14:paraId="2118D41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环节</w:t>
            </w:r>
          </w:p>
          <w:p w14:paraId="461A643B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35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  <w:p w14:paraId="0E2B1077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Align w:val="center"/>
          </w:tcPr>
          <w:p w14:paraId="22FDFBA0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  <w:p w14:paraId="4B89485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6.</w:t>
            </w:r>
          </w:p>
          <w:p w14:paraId="1DA0836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仪器</w:t>
            </w:r>
          </w:p>
          <w:p w14:paraId="0DB05A3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设备</w:t>
            </w:r>
          </w:p>
          <w:p w14:paraId="443AB30B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2分</w:t>
            </w: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7313F615">
            <w:pPr>
              <w:ind w:left="-109" w:leftChars="-52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仪器设备管理</w:t>
            </w:r>
          </w:p>
          <w:p w14:paraId="5DCBA49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02D857C6">
            <w:pPr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使用记录登记齐全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；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近两年的仪器设备维修记录齐备，且设备维修及时，能保证实验正常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开展</w:t>
            </w:r>
          </w:p>
        </w:tc>
        <w:tc>
          <w:tcPr>
            <w:tcW w:w="2130" w:type="dxa"/>
            <w:vAlign w:val="center"/>
          </w:tcPr>
          <w:p w14:paraId="6B79C832">
            <w:pPr>
              <w:spacing w:line="28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翻阅仪器设备登记本；现场检查</w:t>
            </w:r>
          </w:p>
        </w:tc>
        <w:tc>
          <w:tcPr>
            <w:tcW w:w="4456" w:type="dxa"/>
            <w:vAlign w:val="center"/>
          </w:tcPr>
          <w:p w14:paraId="6763FB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12E1869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544F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153" w:type="dxa"/>
            <w:vMerge w:val="continue"/>
            <w:vAlign w:val="center"/>
          </w:tcPr>
          <w:p w14:paraId="78B7C55D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3430981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5DFB07F7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环境与</w:t>
            </w:r>
          </w:p>
          <w:p w14:paraId="3D842DB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安全</w:t>
            </w:r>
          </w:p>
          <w:p w14:paraId="122FEF4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4分</w:t>
            </w:r>
          </w:p>
        </w:tc>
        <w:tc>
          <w:tcPr>
            <w:tcW w:w="1695" w:type="dxa"/>
            <w:vAlign w:val="center"/>
          </w:tcPr>
          <w:p w14:paraId="1BBC7BA6">
            <w:pPr>
              <w:pStyle w:val="15"/>
              <w:ind w:left="4" w:right="-115" w:rightChars="-55" w:firstLine="0" w:firstLineChars="0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设施与</w:t>
            </w:r>
          </w:p>
          <w:p w14:paraId="2C902B3E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环境</w:t>
            </w:r>
          </w:p>
          <w:p w14:paraId="34A7A901">
            <w:pPr>
              <w:pStyle w:val="15"/>
              <w:ind w:left="4" w:right="-115" w:rightChars="-55" w:firstLine="0" w:firstLineChars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514922F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实验室通风、照明等设施完好。电路、水气管道布局安全、规范，室内布局合理。与实验室无关的杂物清理干净</w:t>
            </w:r>
          </w:p>
        </w:tc>
        <w:tc>
          <w:tcPr>
            <w:tcW w:w="2130" w:type="dxa"/>
            <w:vAlign w:val="center"/>
          </w:tcPr>
          <w:p w14:paraId="30B59DC2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55262528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F95105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45E2F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153" w:type="dxa"/>
            <w:vMerge w:val="continue"/>
            <w:vAlign w:val="center"/>
          </w:tcPr>
          <w:p w14:paraId="66DE02D6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vAlign w:val="center"/>
          </w:tcPr>
          <w:p w14:paraId="6EE72E06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 w14:paraId="159FCDD3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安全措施</w:t>
            </w:r>
          </w:p>
          <w:p w14:paraId="51217F01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7FF0ACC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实验室防火、防爆炸、防盗、防破坏的基本设备齐全和措施合理</w:t>
            </w:r>
          </w:p>
        </w:tc>
        <w:tc>
          <w:tcPr>
            <w:tcW w:w="2130" w:type="dxa"/>
            <w:vAlign w:val="center"/>
          </w:tcPr>
          <w:p w14:paraId="6FA8BE7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现场检查</w:t>
            </w:r>
          </w:p>
        </w:tc>
        <w:tc>
          <w:tcPr>
            <w:tcW w:w="4456" w:type="dxa"/>
            <w:vAlign w:val="center"/>
          </w:tcPr>
          <w:p w14:paraId="69D93F3B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9DDC0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41C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1153" w:type="dxa"/>
            <w:vMerge w:val="continue"/>
            <w:vAlign w:val="center"/>
          </w:tcPr>
          <w:p w14:paraId="1FBF908F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restart"/>
            <w:vAlign w:val="center"/>
          </w:tcPr>
          <w:p w14:paraId="709388AE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8.</w:t>
            </w:r>
          </w:p>
          <w:p w14:paraId="42D598D2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实验室</w:t>
            </w:r>
          </w:p>
          <w:p w14:paraId="5573D738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管理</w:t>
            </w:r>
          </w:p>
          <w:p w14:paraId="6069A27F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5分</w:t>
            </w:r>
          </w:p>
        </w:tc>
        <w:tc>
          <w:tcPr>
            <w:tcW w:w="1695" w:type="dxa"/>
            <w:vAlign w:val="center"/>
          </w:tcPr>
          <w:p w14:paraId="21861561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）实验室</w:t>
            </w:r>
          </w:p>
          <w:p w14:paraId="7FB0903A">
            <w:pPr>
              <w:ind w:left="-109" w:leftChars="-52" w:right="-115" w:rightChars="-55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管理</w:t>
            </w:r>
          </w:p>
          <w:p w14:paraId="5F783B14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分</w:t>
            </w:r>
          </w:p>
        </w:tc>
        <w:tc>
          <w:tcPr>
            <w:tcW w:w="4380" w:type="dxa"/>
            <w:vAlign w:val="center"/>
          </w:tcPr>
          <w:p w14:paraId="3A7E56FD">
            <w:pPr>
              <w:jc w:val="center"/>
              <w:rPr>
                <w:rFonts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实验室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按时填写实验室周志，</w:t>
            </w:r>
            <w:r>
              <w:rPr>
                <w:rFonts w:ascii="仿宋" w:hAnsi="仿宋" w:eastAsia="仿宋" w:cs="Times New Roman"/>
                <w:color w:val="auto"/>
                <w:kern w:val="0"/>
                <w:sz w:val="24"/>
                <w:szCs w:val="24"/>
              </w:rPr>
              <w:t>记录认真规范</w:t>
            </w:r>
          </w:p>
        </w:tc>
        <w:tc>
          <w:tcPr>
            <w:tcW w:w="2130" w:type="dxa"/>
            <w:vAlign w:val="center"/>
          </w:tcPr>
          <w:p w14:paraId="60831AAF">
            <w:pPr>
              <w:jc w:val="center"/>
              <w:rPr>
                <w:rFonts w:hint="eastAsia" w:ascii="仿宋" w:hAnsi="仿宋" w:eastAsia="仿宋" w:cs="Times New Roman"/>
                <w:color w:val="00B0F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Times New Roman"/>
                <w:color w:val="auto"/>
                <w:sz w:val="24"/>
                <w:szCs w:val="24"/>
              </w:rPr>
              <w:t>翻阅</w:t>
            </w: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  <w:lang w:eastAsia="zh-CN"/>
              </w:rPr>
              <w:t>实验室周志</w:t>
            </w:r>
          </w:p>
        </w:tc>
        <w:tc>
          <w:tcPr>
            <w:tcW w:w="4456" w:type="dxa"/>
            <w:vAlign w:val="center"/>
          </w:tcPr>
          <w:p w14:paraId="70490C2D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7F0A75EE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 w14:paraId="5BF1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1153" w:type="dxa"/>
            <w:vMerge w:val="continue"/>
            <w:tcBorders>
              <w:bottom w:val="single" w:color="auto" w:sz="4" w:space="0"/>
            </w:tcBorders>
            <w:vAlign w:val="center"/>
          </w:tcPr>
          <w:p w14:paraId="4BB2C810">
            <w:pPr>
              <w:spacing w:line="480" w:lineRule="auto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87" w:type="dxa"/>
            <w:vMerge w:val="continue"/>
            <w:tcBorders>
              <w:bottom w:val="single" w:color="auto" w:sz="4" w:space="0"/>
            </w:tcBorders>
            <w:vAlign w:val="center"/>
          </w:tcPr>
          <w:p w14:paraId="7BF03CE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bottom w:val="single" w:color="auto" w:sz="4" w:space="0"/>
            </w:tcBorders>
            <w:vAlign w:val="center"/>
          </w:tcPr>
          <w:p w14:paraId="176CA960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文件归档</w:t>
            </w:r>
          </w:p>
          <w:p w14:paraId="0BAC934F">
            <w:pPr>
              <w:ind w:left="-109" w:leftChars="-52" w:right="-115" w:rightChars="-55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分</w:t>
            </w:r>
          </w:p>
        </w:tc>
        <w:tc>
          <w:tcPr>
            <w:tcW w:w="4380" w:type="dxa"/>
            <w:tcBorders>
              <w:bottom w:val="single" w:color="auto" w:sz="4" w:space="0"/>
            </w:tcBorders>
            <w:vAlign w:val="center"/>
          </w:tcPr>
          <w:p w14:paraId="4E13EF56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上学期实验室相关材料归档齐全规范</w:t>
            </w:r>
          </w:p>
        </w:tc>
        <w:tc>
          <w:tcPr>
            <w:tcW w:w="2130" w:type="dxa"/>
            <w:tcBorders>
              <w:bottom w:val="single" w:color="auto" w:sz="4" w:space="0"/>
            </w:tcBorders>
            <w:vAlign w:val="center"/>
          </w:tcPr>
          <w:p w14:paraId="45BB7F35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翻阅材料</w:t>
            </w:r>
          </w:p>
        </w:tc>
        <w:tc>
          <w:tcPr>
            <w:tcW w:w="4456" w:type="dxa"/>
            <w:tcBorders>
              <w:bottom w:val="single" w:color="auto" w:sz="4" w:space="0"/>
            </w:tcBorders>
            <w:vAlign w:val="center"/>
          </w:tcPr>
          <w:p w14:paraId="5BF9BDC0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0DCAA964">
            <w:pPr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 w14:paraId="643DB279">
      <w:pPr>
        <w:rPr>
          <w:rFonts w:ascii="仿宋" w:hAnsi="仿宋" w:eastAsia="仿宋"/>
          <w:sz w:val="24"/>
          <w:szCs w:val="24"/>
        </w:rPr>
      </w:pPr>
    </w:p>
    <w:p w14:paraId="70B38942">
      <w:pPr>
        <w:rPr>
          <w:rFonts w:ascii="仿宋" w:hAnsi="仿宋" w:eastAsia="仿宋"/>
          <w:sz w:val="24"/>
          <w:szCs w:val="24"/>
        </w:rPr>
        <w:sectPr>
          <w:footerReference r:id="rId3" w:type="default"/>
          <w:pgSz w:w="16838" w:h="11906" w:orient="landscape"/>
          <w:pgMar w:top="993" w:right="1440" w:bottom="1135" w:left="1440" w:header="851" w:footer="992" w:gutter="0"/>
          <w:pgNumType w:fmt="decimal"/>
          <w:cols w:space="425" w:num="1"/>
          <w:docGrid w:type="lines" w:linePitch="312" w:charSpace="0"/>
        </w:sectPr>
      </w:pPr>
    </w:p>
    <w:tbl>
      <w:tblPr>
        <w:tblStyle w:val="6"/>
        <w:tblW w:w="1531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8"/>
        <w:gridCol w:w="974"/>
        <w:gridCol w:w="1562"/>
        <w:gridCol w:w="4361"/>
        <w:gridCol w:w="2145"/>
        <w:gridCol w:w="4408"/>
        <w:gridCol w:w="709"/>
      </w:tblGrid>
      <w:tr w14:paraId="15DE6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51" w:type="dxa"/>
            <w:gridSpan w:val="2"/>
            <w:vAlign w:val="center"/>
          </w:tcPr>
          <w:p w14:paraId="6EB5D86B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br w:type="page"/>
            </w: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一级</w:t>
            </w:r>
          </w:p>
          <w:p w14:paraId="118E898E">
            <w:pPr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974" w:type="dxa"/>
            <w:vAlign w:val="center"/>
          </w:tcPr>
          <w:p w14:paraId="5492C80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二级</w:t>
            </w:r>
          </w:p>
          <w:p w14:paraId="7D1D0C5C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1562" w:type="dxa"/>
            <w:vAlign w:val="center"/>
          </w:tcPr>
          <w:p w14:paraId="7287884B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三级</w:t>
            </w:r>
          </w:p>
          <w:p w14:paraId="31283D3A">
            <w:pPr>
              <w:spacing w:line="30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指标</w:t>
            </w:r>
          </w:p>
        </w:tc>
        <w:tc>
          <w:tcPr>
            <w:tcW w:w="4361" w:type="dxa"/>
            <w:vAlign w:val="center"/>
          </w:tcPr>
          <w:p w14:paraId="4204C3C8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考核内容</w:t>
            </w:r>
          </w:p>
        </w:tc>
        <w:tc>
          <w:tcPr>
            <w:tcW w:w="2145" w:type="dxa"/>
            <w:vAlign w:val="center"/>
          </w:tcPr>
          <w:p w14:paraId="16F25003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考核办法</w:t>
            </w:r>
          </w:p>
        </w:tc>
        <w:tc>
          <w:tcPr>
            <w:tcW w:w="4408" w:type="dxa"/>
            <w:vAlign w:val="center"/>
          </w:tcPr>
          <w:p w14:paraId="7C692621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检查</w:t>
            </w:r>
          </w:p>
          <w:p w14:paraId="6866A85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情况</w:t>
            </w:r>
          </w:p>
        </w:tc>
        <w:tc>
          <w:tcPr>
            <w:tcW w:w="709" w:type="dxa"/>
            <w:vAlign w:val="center"/>
          </w:tcPr>
          <w:p w14:paraId="37616DDA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评委</w:t>
            </w:r>
          </w:p>
          <w:p w14:paraId="58F0EFFB"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打分</w:t>
            </w:r>
          </w:p>
        </w:tc>
      </w:tr>
      <w:tr w14:paraId="2553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133" w:type="dxa"/>
            <w:vAlign w:val="center"/>
          </w:tcPr>
          <w:p w14:paraId="73E7004F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三、</w:t>
            </w:r>
          </w:p>
          <w:p w14:paraId="52AC0CE3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教学单位组织检查情况</w:t>
            </w:r>
          </w:p>
          <w:p w14:paraId="24047898">
            <w:pPr>
              <w:spacing w:line="480" w:lineRule="auto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992" w:type="dxa"/>
            <w:gridSpan w:val="2"/>
            <w:vAlign w:val="center"/>
          </w:tcPr>
          <w:p w14:paraId="2FB4317A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7.</w:t>
            </w:r>
          </w:p>
          <w:p w14:paraId="0E208D44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组织</w:t>
            </w:r>
          </w:p>
          <w:p w14:paraId="42F9225C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检查</w:t>
            </w:r>
          </w:p>
          <w:p w14:paraId="0DAB85B3">
            <w:pPr>
              <w:ind w:left="-17" w:leftChars="-8" w:right="-115" w:rightChars="-55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  <w:t>10分</w:t>
            </w:r>
          </w:p>
        </w:tc>
        <w:tc>
          <w:tcPr>
            <w:tcW w:w="1562" w:type="dxa"/>
            <w:vAlign w:val="center"/>
          </w:tcPr>
          <w:p w14:paraId="4D7C0D50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（1）组织及迎检工作</w:t>
            </w:r>
          </w:p>
          <w:p w14:paraId="6613552A">
            <w:pPr>
              <w:spacing w:line="32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分</w:t>
            </w:r>
          </w:p>
        </w:tc>
        <w:tc>
          <w:tcPr>
            <w:tcW w:w="4361" w:type="dxa"/>
            <w:vAlign w:val="center"/>
          </w:tcPr>
          <w:p w14:paraId="5420D904">
            <w:pPr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高度重视此次期中教学检查，认真组织落实，在检查前完成自查，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对本次自查出的问题提出有针对性的整改措施和建设思路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，提交自查自评量化表和自查报告；检查材料准备充足、充分</w:t>
            </w:r>
          </w:p>
        </w:tc>
        <w:tc>
          <w:tcPr>
            <w:tcW w:w="2145" w:type="dxa"/>
            <w:vAlign w:val="center"/>
          </w:tcPr>
          <w:p w14:paraId="681729D2">
            <w:pPr>
              <w:spacing w:line="32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现场检查</w:t>
            </w:r>
          </w:p>
        </w:tc>
        <w:tc>
          <w:tcPr>
            <w:tcW w:w="4408" w:type="dxa"/>
            <w:vAlign w:val="center"/>
          </w:tcPr>
          <w:p w14:paraId="209A81EC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5AFBFBDB">
            <w:pPr>
              <w:spacing w:line="24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40B3173">
      <w:pPr>
        <w:rPr>
          <w:rFonts w:ascii="仿宋" w:hAnsi="仿宋" w:eastAsia="仿宋"/>
          <w:sz w:val="24"/>
          <w:szCs w:val="24"/>
        </w:rPr>
      </w:pPr>
    </w:p>
    <w:p w14:paraId="1DF90B38">
      <w:pPr>
        <w:widowControl/>
        <w:jc w:val="left"/>
        <w:rPr>
          <w:rFonts w:ascii="仿宋" w:hAnsi="仿宋" w:eastAsia="仿宋"/>
          <w:sz w:val="24"/>
          <w:szCs w:val="24"/>
        </w:rPr>
      </w:pPr>
    </w:p>
    <w:sectPr>
      <w:footerReference r:id="rId4" w:type="default"/>
      <w:pgSz w:w="16838" w:h="11906" w:orient="landscape"/>
      <w:pgMar w:top="993" w:right="1440" w:bottom="1135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3D2DF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8F65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A8F65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752E2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870167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870167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0YzkxMjQ4YWRiNGE5ZDcyNTdlYzQ4ZDVhNjFjNDUifQ=="/>
  </w:docVars>
  <w:rsids>
    <w:rsidRoot w:val="00AE44E3"/>
    <w:rsid w:val="00040D46"/>
    <w:rsid w:val="00072B6D"/>
    <w:rsid w:val="00076042"/>
    <w:rsid w:val="00086B61"/>
    <w:rsid w:val="000D679B"/>
    <w:rsid w:val="00131A0F"/>
    <w:rsid w:val="00163686"/>
    <w:rsid w:val="00190EA8"/>
    <w:rsid w:val="001C6F7A"/>
    <w:rsid w:val="001F499D"/>
    <w:rsid w:val="002E0285"/>
    <w:rsid w:val="00343DE7"/>
    <w:rsid w:val="003A7DB3"/>
    <w:rsid w:val="003C11CB"/>
    <w:rsid w:val="003F69C6"/>
    <w:rsid w:val="00400FBA"/>
    <w:rsid w:val="004150E6"/>
    <w:rsid w:val="004D14A4"/>
    <w:rsid w:val="004D2286"/>
    <w:rsid w:val="0054221D"/>
    <w:rsid w:val="005611C9"/>
    <w:rsid w:val="005825CC"/>
    <w:rsid w:val="005A1241"/>
    <w:rsid w:val="006A0DB0"/>
    <w:rsid w:val="00785A39"/>
    <w:rsid w:val="00816204"/>
    <w:rsid w:val="008832D1"/>
    <w:rsid w:val="00904833"/>
    <w:rsid w:val="009410F7"/>
    <w:rsid w:val="009C68D8"/>
    <w:rsid w:val="009F3158"/>
    <w:rsid w:val="00A64D02"/>
    <w:rsid w:val="00AA5A2E"/>
    <w:rsid w:val="00AE44E3"/>
    <w:rsid w:val="00C47B69"/>
    <w:rsid w:val="00C503DF"/>
    <w:rsid w:val="00CB109E"/>
    <w:rsid w:val="00D83F98"/>
    <w:rsid w:val="00DC6744"/>
    <w:rsid w:val="00E26E46"/>
    <w:rsid w:val="019E4ED3"/>
    <w:rsid w:val="027246E2"/>
    <w:rsid w:val="03AA4003"/>
    <w:rsid w:val="05A94C99"/>
    <w:rsid w:val="063A71D2"/>
    <w:rsid w:val="07AC5A15"/>
    <w:rsid w:val="0C4843B9"/>
    <w:rsid w:val="0C7451AE"/>
    <w:rsid w:val="0FE443F8"/>
    <w:rsid w:val="0FF26B15"/>
    <w:rsid w:val="0FFC7B85"/>
    <w:rsid w:val="101A1D1A"/>
    <w:rsid w:val="121122BF"/>
    <w:rsid w:val="133948B1"/>
    <w:rsid w:val="158E72E0"/>
    <w:rsid w:val="161C5620"/>
    <w:rsid w:val="171429DA"/>
    <w:rsid w:val="18534811"/>
    <w:rsid w:val="199F37ED"/>
    <w:rsid w:val="19EE47F1"/>
    <w:rsid w:val="1A86424F"/>
    <w:rsid w:val="1AF25893"/>
    <w:rsid w:val="1B4A670E"/>
    <w:rsid w:val="1B8F4C95"/>
    <w:rsid w:val="1E4A36CA"/>
    <w:rsid w:val="209E7D28"/>
    <w:rsid w:val="21CA0EF5"/>
    <w:rsid w:val="21F07732"/>
    <w:rsid w:val="24BE3012"/>
    <w:rsid w:val="25B27E23"/>
    <w:rsid w:val="25EC4D8C"/>
    <w:rsid w:val="28600DCC"/>
    <w:rsid w:val="2AC1385C"/>
    <w:rsid w:val="2B5B05EA"/>
    <w:rsid w:val="2DA27975"/>
    <w:rsid w:val="2FDB2CCA"/>
    <w:rsid w:val="33955AC0"/>
    <w:rsid w:val="34715837"/>
    <w:rsid w:val="34873421"/>
    <w:rsid w:val="34FE51A7"/>
    <w:rsid w:val="36366C5F"/>
    <w:rsid w:val="38BB18EB"/>
    <w:rsid w:val="3A0A2075"/>
    <w:rsid w:val="3B6801BA"/>
    <w:rsid w:val="3CB60D47"/>
    <w:rsid w:val="3E1D4B75"/>
    <w:rsid w:val="3EEA2F2A"/>
    <w:rsid w:val="40B260BD"/>
    <w:rsid w:val="4172072D"/>
    <w:rsid w:val="43473100"/>
    <w:rsid w:val="479566F4"/>
    <w:rsid w:val="49655865"/>
    <w:rsid w:val="49D4280C"/>
    <w:rsid w:val="4A4F6337"/>
    <w:rsid w:val="4B04021D"/>
    <w:rsid w:val="4B142B91"/>
    <w:rsid w:val="4CCD00DE"/>
    <w:rsid w:val="4CFA4C80"/>
    <w:rsid w:val="4DA0439B"/>
    <w:rsid w:val="504D4E5B"/>
    <w:rsid w:val="54D23DEC"/>
    <w:rsid w:val="54E12DF6"/>
    <w:rsid w:val="54FE143F"/>
    <w:rsid w:val="55E24503"/>
    <w:rsid w:val="575256B8"/>
    <w:rsid w:val="584274DB"/>
    <w:rsid w:val="58445001"/>
    <w:rsid w:val="5BB4249E"/>
    <w:rsid w:val="60C85460"/>
    <w:rsid w:val="65F938CF"/>
    <w:rsid w:val="675C749E"/>
    <w:rsid w:val="6E0E4434"/>
    <w:rsid w:val="6EAB5982"/>
    <w:rsid w:val="6EE35452"/>
    <w:rsid w:val="6F1708F9"/>
    <w:rsid w:val="70AF60B7"/>
    <w:rsid w:val="756325F4"/>
    <w:rsid w:val="76A73A1F"/>
    <w:rsid w:val="77F75794"/>
    <w:rsid w:val="79A90D10"/>
    <w:rsid w:val="7A070EC3"/>
    <w:rsid w:val="7CD80A03"/>
    <w:rsid w:val="7D697134"/>
    <w:rsid w:val="7DEB18F7"/>
    <w:rsid w:val="7E81400A"/>
    <w:rsid w:val="7FB1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autoRedefine/>
    <w:qFormat/>
    <w:uiPriority w:val="22"/>
    <w:rPr>
      <w:b/>
    </w:rPr>
  </w:style>
  <w:style w:type="character" w:styleId="9">
    <w:name w:val="Followed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0">
    <w:name w:val="HTML Definition"/>
    <w:basedOn w:val="7"/>
    <w:autoRedefine/>
    <w:semiHidden/>
    <w:unhideWhenUsed/>
    <w:qFormat/>
    <w:uiPriority w:val="99"/>
  </w:style>
  <w:style w:type="character" w:styleId="11">
    <w:name w:val="HTML Variable"/>
    <w:basedOn w:val="7"/>
    <w:autoRedefine/>
    <w:semiHidden/>
    <w:unhideWhenUsed/>
    <w:qFormat/>
    <w:uiPriority w:val="99"/>
  </w:style>
  <w:style w:type="character" w:styleId="12">
    <w:name w:val="Hyperlink"/>
    <w:basedOn w:val="7"/>
    <w:autoRedefine/>
    <w:semiHidden/>
    <w:unhideWhenUsed/>
    <w:qFormat/>
    <w:uiPriority w:val="99"/>
    <w:rPr>
      <w:color w:val="2490F8"/>
      <w:u w:val="none"/>
    </w:rPr>
  </w:style>
  <w:style w:type="character" w:styleId="13">
    <w:name w:val="HTML Code"/>
    <w:basedOn w:val="7"/>
    <w:autoRedefine/>
    <w:semiHidden/>
    <w:unhideWhenUsed/>
    <w:qFormat/>
    <w:uiPriority w:val="99"/>
    <w:rPr>
      <w:rFonts w:ascii="Courier New" w:hAnsi="Courier New"/>
      <w:sz w:val="20"/>
    </w:rPr>
  </w:style>
  <w:style w:type="character" w:styleId="14">
    <w:name w:val="HTML Cite"/>
    <w:basedOn w:val="7"/>
    <w:autoRedefine/>
    <w:semiHidden/>
    <w:unhideWhenUsed/>
    <w:qFormat/>
    <w:uiPriority w:val="99"/>
  </w:style>
  <w:style w:type="paragraph" w:styleId="1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6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character" w:customStyle="1" w:styleId="17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8">
    <w:name w:val="页脚 Char"/>
    <w:basedOn w:val="7"/>
    <w:link w:val="3"/>
    <w:autoRedefine/>
    <w:qFormat/>
    <w:uiPriority w:val="99"/>
    <w:rPr>
      <w:sz w:val="18"/>
      <w:szCs w:val="18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1">
    <w:name w:val="cdropleft"/>
    <w:basedOn w:val="7"/>
    <w:autoRedefine/>
    <w:qFormat/>
    <w:uiPriority w:val="0"/>
  </w:style>
  <w:style w:type="character" w:customStyle="1" w:styleId="22">
    <w:name w:val="biggerthanmax"/>
    <w:basedOn w:val="7"/>
    <w:autoRedefine/>
    <w:qFormat/>
    <w:uiPriority w:val="0"/>
    <w:rPr>
      <w:shd w:val="clear" w:fill="FFFF00"/>
    </w:rPr>
  </w:style>
  <w:style w:type="character" w:customStyle="1" w:styleId="23">
    <w:name w:val="icontext3"/>
    <w:basedOn w:val="7"/>
    <w:autoRedefine/>
    <w:qFormat/>
    <w:uiPriority w:val="0"/>
  </w:style>
  <w:style w:type="character" w:customStyle="1" w:styleId="24">
    <w:name w:val="cy"/>
    <w:basedOn w:val="7"/>
    <w:autoRedefine/>
    <w:qFormat/>
    <w:uiPriority w:val="0"/>
  </w:style>
  <w:style w:type="character" w:customStyle="1" w:styleId="25">
    <w:name w:val="ico16"/>
    <w:basedOn w:val="7"/>
    <w:autoRedefine/>
    <w:qFormat/>
    <w:uiPriority w:val="0"/>
  </w:style>
  <w:style w:type="character" w:customStyle="1" w:styleId="26">
    <w:name w:val="ico161"/>
    <w:basedOn w:val="7"/>
    <w:autoRedefine/>
    <w:qFormat/>
    <w:uiPriority w:val="0"/>
  </w:style>
  <w:style w:type="character" w:customStyle="1" w:styleId="27">
    <w:name w:val="edit_class"/>
    <w:basedOn w:val="7"/>
    <w:autoRedefine/>
    <w:qFormat/>
    <w:uiPriority w:val="0"/>
  </w:style>
  <w:style w:type="character" w:customStyle="1" w:styleId="28">
    <w:name w:val="layui-layer-tabnow"/>
    <w:basedOn w:val="7"/>
    <w:autoRedefine/>
    <w:qFormat/>
    <w:uiPriority w:val="0"/>
    <w:rPr>
      <w:bdr w:val="single" w:color="CCCCCC" w:sz="6" w:space="0"/>
      <w:shd w:val="clear" w:fill="FFFFFF"/>
    </w:rPr>
  </w:style>
  <w:style w:type="character" w:customStyle="1" w:styleId="29">
    <w:name w:val="active4"/>
    <w:basedOn w:val="7"/>
    <w:autoRedefine/>
    <w:qFormat/>
    <w:uiPriority w:val="0"/>
    <w:rPr>
      <w:color w:val="00FF00"/>
      <w:shd w:val="clear" w:fill="111111"/>
    </w:rPr>
  </w:style>
  <w:style w:type="character" w:customStyle="1" w:styleId="30">
    <w:name w:val="active5"/>
    <w:basedOn w:val="7"/>
    <w:autoRedefine/>
    <w:qFormat/>
    <w:uiPriority w:val="0"/>
    <w:rPr>
      <w:shd w:val="clear" w:fill="EC3535"/>
    </w:rPr>
  </w:style>
  <w:style w:type="character" w:customStyle="1" w:styleId="31">
    <w:name w:val="icontext1"/>
    <w:basedOn w:val="7"/>
    <w:autoRedefine/>
    <w:qFormat/>
    <w:uiPriority w:val="0"/>
  </w:style>
  <w:style w:type="character" w:customStyle="1" w:styleId="32">
    <w:name w:val="icontext11"/>
    <w:basedOn w:val="7"/>
    <w:autoRedefine/>
    <w:qFormat/>
    <w:uiPriority w:val="0"/>
  </w:style>
  <w:style w:type="character" w:customStyle="1" w:styleId="33">
    <w:name w:val="icontext12"/>
    <w:basedOn w:val="7"/>
    <w:autoRedefine/>
    <w:qFormat/>
    <w:uiPriority w:val="0"/>
  </w:style>
  <w:style w:type="character" w:customStyle="1" w:styleId="34">
    <w:name w:val="icontext2"/>
    <w:basedOn w:val="7"/>
    <w:autoRedefine/>
    <w:qFormat/>
    <w:uiPriority w:val="0"/>
  </w:style>
  <w:style w:type="character" w:customStyle="1" w:styleId="35">
    <w:name w:val="iconline2"/>
    <w:basedOn w:val="7"/>
    <w:autoRedefine/>
    <w:qFormat/>
    <w:uiPriority w:val="0"/>
  </w:style>
  <w:style w:type="character" w:customStyle="1" w:styleId="36">
    <w:name w:val="iconline21"/>
    <w:basedOn w:val="7"/>
    <w:autoRedefine/>
    <w:qFormat/>
    <w:uiPriority w:val="0"/>
  </w:style>
  <w:style w:type="character" w:customStyle="1" w:styleId="37">
    <w:name w:val="button"/>
    <w:basedOn w:val="7"/>
    <w:autoRedefine/>
    <w:qFormat/>
    <w:uiPriority w:val="0"/>
  </w:style>
  <w:style w:type="character" w:customStyle="1" w:styleId="38">
    <w:name w:val="first-child"/>
    <w:basedOn w:val="7"/>
    <w:autoRedefine/>
    <w:qFormat/>
    <w:uiPriority w:val="0"/>
  </w:style>
  <w:style w:type="character" w:customStyle="1" w:styleId="39">
    <w:name w:val="w32"/>
    <w:basedOn w:val="7"/>
    <w:autoRedefine/>
    <w:qFormat/>
    <w:uiPriority w:val="0"/>
  </w:style>
  <w:style w:type="character" w:customStyle="1" w:styleId="40">
    <w:name w:val="associateddata"/>
    <w:basedOn w:val="7"/>
    <w:autoRedefine/>
    <w:qFormat/>
    <w:uiPriority w:val="0"/>
    <w:rPr>
      <w:shd w:val="clear" w:fill="50A6F9"/>
    </w:rPr>
  </w:style>
  <w:style w:type="character" w:customStyle="1" w:styleId="41">
    <w:name w:val="drapbtn"/>
    <w:basedOn w:val="7"/>
    <w:autoRedefine/>
    <w:qFormat/>
    <w:uiPriority w:val="0"/>
  </w:style>
  <w:style w:type="character" w:customStyle="1" w:styleId="42">
    <w:name w:val="pagechatarealistclose_box"/>
    <w:basedOn w:val="7"/>
    <w:autoRedefine/>
    <w:qFormat/>
    <w:uiPriority w:val="0"/>
  </w:style>
  <w:style w:type="character" w:customStyle="1" w:styleId="43">
    <w:name w:val="pagechatarealistclose_box1"/>
    <w:basedOn w:val="7"/>
    <w:autoRedefine/>
    <w:qFormat/>
    <w:uiPriority w:val="0"/>
  </w:style>
  <w:style w:type="character" w:customStyle="1" w:styleId="44">
    <w:name w:val="cdropright"/>
    <w:basedOn w:val="7"/>
    <w:autoRedefine/>
    <w:qFormat/>
    <w:uiPriority w:val="0"/>
  </w:style>
  <w:style w:type="character" w:customStyle="1" w:styleId="45">
    <w:name w:val="hilite6"/>
    <w:basedOn w:val="7"/>
    <w:autoRedefine/>
    <w:qFormat/>
    <w:uiPriority w:val="0"/>
    <w:rPr>
      <w:color w:val="FFFFFF"/>
      <w:shd w:val="clear" w:fill="666666"/>
    </w:rPr>
  </w:style>
  <w:style w:type="character" w:customStyle="1" w:styleId="46">
    <w:name w:val="design_class"/>
    <w:basedOn w:val="7"/>
    <w:autoRedefine/>
    <w:qFormat/>
    <w:uiPriority w:val="0"/>
  </w:style>
  <w:style w:type="character" w:customStyle="1" w:styleId="47">
    <w:name w:val="after"/>
    <w:basedOn w:val="7"/>
    <w:autoRedefine/>
    <w:qFormat/>
    <w:uiPriority w:val="0"/>
    <w:rPr>
      <w:sz w:val="0"/>
      <w:szCs w:val="0"/>
    </w:rPr>
  </w:style>
  <w:style w:type="character" w:customStyle="1" w:styleId="48">
    <w:name w:val="tmpztreemove_arrow"/>
    <w:basedOn w:val="7"/>
    <w:autoRedefine/>
    <w:qFormat/>
    <w:uiPriority w:val="0"/>
  </w:style>
  <w:style w:type="character" w:customStyle="1" w:styleId="49">
    <w:name w:val="choosename"/>
    <w:basedOn w:val="7"/>
    <w:autoRedefine/>
    <w:qFormat/>
    <w:uiPriority w:val="0"/>
  </w:style>
  <w:style w:type="character" w:customStyle="1" w:styleId="50">
    <w:name w:val="xdrichtextbox2"/>
    <w:basedOn w:val="7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2186</Words>
  <Characters>2232</Characters>
  <Lines>20</Lines>
  <Paragraphs>5</Paragraphs>
  <TotalTime>242</TotalTime>
  <ScaleCrop>false</ScaleCrop>
  <LinksUpToDate>false</LinksUpToDate>
  <CharactersWithSpaces>2302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2018-10-26T00:48:00Z</dcterms:created>
  <dc:creator>Administrator</dc:creator>
  <cp:lastModifiedBy>紫色飘雨</cp:lastModifiedBy>
  <cp:lastPrinted>2024-04-28T08:40:00Z</cp:lastPrinted>
  <dcterms:modified xsi:type="dcterms:W3CDTF">2025-04-22T07:15:25Z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FE1D7264AEBD42B5A3AAA8633F7C0994</vt:lpwstr>
  </property>
  <property fmtid="{D5CDD505-2E9C-101B-9397-08002B2CF9AE}" pid="4" name="KSOTemplateDocerSaveRecord">
    <vt:lpwstr>eyJoZGlkIjoiNjMzNTg4YWRmYmI1ZTVlZGY3NGYyMWE5NmJiZWVjOTYiLCJ1c2VySWQiOiI1ODY5NjM2NDcifQ==</vt:lpwstr>
  </property>
</Properties>
</file>